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“进出境动植物检疫除害处理单位核准”</w:t>
      </w:r>
    </w:p>
    <w:p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政务服务事项办事指南</w:t>
      </w:r>
    </w:p>
    <w:p>
      <w:pPr>
        <w:pStyle w:val="30"/>
        <w:spacing w:line="560" w:lineRule="exact"/>
        <w:ind w:firstLineChars="200" w:firstLine="640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黑体_GBK" w:eastAsia="方正黑体_GBK" w:cs="Arial" w:hint="eastAsia"/>
          <w:color w:val="222222"/>
          <w:sz w:val="32"/>
          <w:szCs w:val="32"/>
        </w:rPr>
        <w:t>一、事项名称：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进出境动植物检疫除害处理单位核准</w:t>
      </w:r>
    </w:p>
    <w:p>
      <w:pPr>
        <w:pStyle w:val="30"/>
        <w:spacing w:line="560" w:lineRule="exact"/>
        <w:ind w:firstLineChars="200" w:firstLine="640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黑体_GBK" w:eastAsia="方正黑体_GBK" w:cs="Arial" w:hint="eastAsia"/>
          <w:color w:val="222222"/>
          <w:sz w:val="32"/>
          <w:szCs w:val="32"/>
        </w:rPr>
        <w:t>二、事项类型：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行政许可</w:t>
      </w:r>
    </w:p>
    <w:p>
      <w:pPr>
        <w:pStyle w:val="30"/>
        <w:spacing w:line="560" w:lineRule="exact"/>
        <w:rPr>
          <w:rFonts w:ascii="方正黑体_GBK" w:eastAsia="方正黑体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方正黑体_GBK" w:eastAsia="方正黑体_GBK" w:cs="Arial" w:hint="eastAsia"/>
          <w:color w:val="222222"/>
          <w:sz w:val="32"/>
          <w:szCs w:val="32"/>
        </w:rPr>
        <w:t>三、设定依据：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（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一）</w:t>
      </w:r>
      <w:r>
        <w:rPr>
          <w:rStyle w:val="0"/>
          <w:rFonts w:ascii="Times New Roman" w:eastAsia="方正仿宋_GBK" w:cs="Times New Roman" w:hAnsi="Times New Roman" w:hint="eastAsia"/>
          <w:color w:val="222222"/>
          <w:kern w:val="0"/>
          <w:sz w:val="32"/>
          <w:szCs w:val="32"/>
        </w:rPr>
        <w:t>《中华人民共和国进出境动植物检疫法实施条例》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第五十五条 从事进出境动植物检疫熏蒸、消毒处理业务的单位和人员，必须经口岸动植物检疫机关考核合格。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（二）</w:t>
      </w:r>
      <w:r>
        <w:rPr>
          <w:rStyle w:val="0"/>
          <w:rFonts w:ascii="Times New Roman" w:eastAsia="方正仿宋_GBK" w:cs="Times New Roman" w:hAnsi="Times New Roman" w:hint="eastAsia"/>
          <w:color w:val="222222"/>
          <w:kern w:val="0"/>
          <w:sz w:val="32"/>
          <w:szCs w:val="32"/>
        </w:rPr>
        <w:t>《出入境检疫处理单位和人员管理办法》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（原国家质量监督检验检疫总局令第181号公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告，根据海关总署令第238号、第240号修改）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第二条 本办法适用于对出入境检疫处理单位和人员的核准以及监督管理。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第六条 检疫处理单位和人员应当在核准范围内从事出入境检疫处理工作；未经核准，不得从事或者超范围从事出入境检疫处理工作。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海关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根据相关法律法规或者输入国家（地区）要求，对需要实施检疫处理的对象，向货主或者其代理人签发检验检疫处理通知书。货主或者其代理人应当委托有资质的检疫处理单位实施检疫处理。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四、实施机构：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各直属海关</w:t>
      </w:r>
    </w:p>
    <w:p>
      <w:pPr>
        <w:pStyle w:val="30"/>
        <w:spacing w:line="560" w:lineRule="exact"/>
        <w:jc w:val="both"/>
        <w:rPr>
          <w:rFonts w:ascii="Times New Roman" w:eastAsia="方正黑体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五、法定办结时限：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自受理申请之日起20个工作日内作出是否核准的决定。20个工作日内不能作出决定的，经直属海关负责人批准，可以延长10个工作日，并将延长期限的理由书面告知申请单位。</w:t>
      </w:r>
    </w:p>
    <w:p>
      <w:pPr>
        <w:pStyle w:val="30"/>
        <w:spacing w:line="560" w:lineRule="exact"/>
        <w:jc w:val="both"/>
        <w:rPr>
          <w:rFonts w:ascii="Times New Roman" w:eastAsia="方正黑体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六、承诺办结时限：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自受理申请之日起20个工作日内作出是否核准的决定。20个工作日内不能作出决定的，经直属海关负责人批准，可以延长10个工作日，并将延长期限的理由书面告知申请单位。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　七、结果名称：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《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进出境动植物检疫除害处理单位核准证书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》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八、结果样本：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《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进出境动植物检疫除害处理单位核准证书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》（见附件1）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九、收费标准：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不收费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十、收费依据：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无</w:t>
      </w:r>
    </w:p>
    <w:p>
      <w:pPr>
        <w:pStyle w:val="30"/>
        <w:spacing w:line="560" w:lineRule="exact"/>
        <w:jc w:val="both"/>
        <w:rPr>
          <w:rFonts w:ascii="Times New Roman" w:eastAsia="方正黑体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十一、申请条件：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申请从事出入境检疫处理工作的单位，应当具备下列基本条件：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（一）具有独立法人资格；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（二）具有满足条件的办公场所；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（三）申请从事的检疫处理类别需要使用危险化学品的，其从业人员及危险化学品的运输、储存、使用应当符合国家有关规定；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（四）使用的出入境检疫处理器械、药剂以及计量器具应当符合国家有关规定；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（五）具有必要的出入境检疫处理安全防护装备、急救药品和设施；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（六）建立有效的质量控制、效果评价、安全保障以及突发事件应急机制等管理制度；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（七）建立完整的出入境检疫处理业务档案、技术培训档案和职工职业健康档案管理制度；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（八）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配备能满足企业业务需求的检疫处理人员，并经培训考核合格，人员数量应能满足业务开展需要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（九）配备专职或者兼职安全员，法律法规有规定的，还应当具备相应的资质。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申请从事A类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动植物病虫害熏蒸除害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处理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（大宗动植物产品船舶熏蒸）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工作的单位，除应当具备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基本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条件以外，还应当符合下列条件：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（一）具有B类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动植物病虫害熏蒸除害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处理资质3年以上，近3年无安全和质量事故；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（二）药品、仪器、设备、材料、专用药品库及操作规范符合法律法规、标准和技术规范的要求；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（三）配备检疫处理熏蒸气体浓度测定仪器、残留毒气检测仪器、大气采样仪器等设备。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申请从事B类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动植物病虫害熏蒸除害处理（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A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类熏蒸除外）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工作的单位，除应当具备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基本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条件以外，还应当符合下列条件：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（一）处理场所、药品、仪器、设备、材料、专用药品库及操作规范符合法律法规、标准和技术规范的要求；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（二）配备检疫处理熏蒸气体浓度测定仪器、残留毒气检测仪器、大气采样仪器等设备。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申请从事C类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动植物病虫害消毒除害处理（不包括防疫消毒）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工作的单位，除应当具备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基本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条件以外，还应当符合下列条件：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（一）药品、仪器、设备、材料、专用药品库及操作规范符合法律法规、标准和技术规范的要求；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（二）配备消毒效果评价相关检测设备。</w:t>
      </w:r>
    </w:p>
    <w:p>
      <w:pPr>
        <w:pStyle w:val="30"/>
        <w:spacing w:line="560" w:lineRule="exact"/>
        <w:jc w:val="both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十二、申请材料：</w:t>
      </w:r>
    </w:p>
    <w:p>
      <w:pPr>
        <w:pStyle w:val="30"/>
        <w:spacing w:line="480" w:lineRule="auto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　登录海关总署“海关政务服务”一体化网上办事平台（平台地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址：</w:t>
      </w:r>
      <w:r>
        <w:rPr>
          <w:rStyle w:val="0"/>
          <w:rFonts w:ascii="Times New Roman" w:eastAsia="方正仿宋_GBK" w:cs="Times New Roman" w:hAnsi="Times New Roman"/>
          <w:color w:val="222222"/>
          <w:kern w:val="0"/>
          <w:sz w:val="32"/>
          <w:szCs w:val="32"/>
        </w:rPr>
        <w:t>http://online.customs.gov.cn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）在线填写申请表，并根据随附单证要求上传扫描件。随附单证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要求：</w:t>
      </w:r>
    </w:p>
    <w:p>
      <w:pPr>
        <w:pStyle w:val="30"/>
        <w:spacing w:line="480" w:lineRule="auto"/>
        <w:ind w:firstLineChars="200" w:firstLine="640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（一）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首次申请</w:t>
      </w:r>
    </w:p>
    <w:p>
      <w:pPr>
        <w:pStyle w:val="30"/>
        <w:spacing w:line="480" w:lineRule="auto"/>
        <w:ind w:firstLineChars="200" w:firstLine="640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1.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《进出境动植物检疫除害处理单位核准申请表》（见附件2）；</w:t>
      </w:r>
    </w:p>
    <w:p>
      <w:pPr>
        <w:pStyle w:val="30"/>
        <w:ind w:firstLine="630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2.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检疫处理人员名单。</w:t>
      </w:r>
    </w:p>
    <w:p>
      <w:pPr>
        <w:pStyle w:val="30"/>
        <w:ind w:firstLine="630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（二）变更申请</w:t>
      </w:r>
    </w:p>
    <w:p>
      <w:pPr>
        <w:pStyle w:val="30"/>
        <w:spacing w:line="480" w:lineRule="auto"/>
        <w:ind w:firstLineChars="200" w:firstLine="640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《进出境动植物检疫除害处理单位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变更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申请表》（见附件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3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）；</w:t>
      </w:r>
    </w:p>
    <w:p>
      <w:pPr>
        <w:pStyle w:val="30"/>
        <w:ind w:firstLine="630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（三）延续申请</w:t>
      </w:r>
    </w:p>
    <w:p>
      <w:pPr>
        <w:pStyle w:val="30"/>
        <w:ind w:firstLine="630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《进出境动植物检疫除害处理单位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延续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申请表》（见附件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4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）；</w:t>
      </w:r>
    </w:p>
    <w:p>
      <w:pPr>
        <w:pStyle w:val="30"/>
        <w:ind w:firstLine="630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（四）注销申请</w:t>
      </w:r>
    </w:p>
    <w:p>
      <w:pPr>
        <w:pStyle w:val="30"/>
        <w:ind w:firstLine="630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《进出境动植物检疫除害处理单位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注销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申请表》（见附件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5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）；</w:t>
      </w:r>
    </w:p>
    <w:p>
      <w:pPr>
        <w:pStyle w:val="30"/>
        <w:spacing w:line="480" w:lineRule="auto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Times New Roman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十三、办理流程：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（流程图见附件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6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）</w:t>
      </w:r>
    </w:p>
    <w:p>
      <w:pPr>
        <w:pStyle w:val="30"/>
        <w:spacing w:line="480" w:lineRule="auto"/>
        <w:ind w:firstLine="630"/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</w:pP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十四、办理形式：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海关政务服务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”一体化网上办事平台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（</w:t>
      </w:r>
      <w:r>
        <w:rPr>
          <w:rStyle w:val="0"/>
          <w:rFonts w:ascii="Times New Roman" w:eastAsia="方正仿宋_GBK" w:cs="Times New Roman" w:hAnsi="Times New Roman" w:hint="eastAsia"/>
          <w:color w:val="222222"/>
          <w:kern w:val="0"/>
          <w:sz w:val="32"/>
          <w:szCs w:val="32"/>
        </w:rPr>
        <w:t>http://online.customs.gov.cn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）或海关行政审批网上办理平台（网址：</w:t>
      </w:r>
      <w:r>
        <w:rPr>
          <w:rStyle w:val="0"/>
          <w:rFonts w:ascii="Times New Roman" w:eastAsia="方正仿宋_GBK" w:cs="Times New Roman" w:hAnsi="Times New Roman" w:hint="eastAsia"/>
          <w:color w:val="222222"/>
          <w:kern w:val="0"/>
          <w:sz w:val="32"/>
          <w:szCs w:val="32"/>
        </w:rPr>
        <w:t>http://pre.chinaport.gov.cn/car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）。</w:t>
      </w:r>
    </w:p>
    <w:p>
      <w:pPr>
        <w:pStyle w:val="30"/>
        <w:spacing w:line="480" w:lineRule="auto"/>
        <w:ind w:firstLine="630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十五、到现场办理次数：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0次</w:t>
      </w:r>
    </w:p>
    <w:p>
      <w:pPr>
        <w:pStyle w:val="3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Arial" w:cs="Arial" w:hAnsi="Arial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十六、审查标准：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申请材</w:t>
      </w:r>
      <w:bookmarkStart w:id="0" w:name="_GoBack"/>
      <w:bookmarkEnd w:id="0"/>
      <w:r>
        <w:rPr>
          <w:rFonts w:ascii="方正仿宋_GBK" w:eastAsia="方正仿宋_GBK" w:cs="Arial" w:hint="eastAsia"/>
          <w:color w:val="222222"/>
          <w:sz w:val="32"/>
          <w:szCs w:val="32"/>
        </w:rPr>
        <w:t>料填写准确、完整、真实、有效。</w:t>
      </w:r>
    </w:p>
    <w:p>
      <w:pPr>
        <w:pStyle w:val="3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Arial" w:cs="Arial" w:hAnsi="Arial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十七、通办范围：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各直属海关关区</w:t>
      </w:r>
    </w:p>
    <w:p>
      <w:pPr>
        <w:pStyle w:val="3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Arial" w:cs="Arial" w:hAnsi="Arial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十八、预约办理：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否</w:t>
      </w:r>
    </w:p>
    <w:p>
      <w:pPr>
        <w:pStyle w:val="3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Arial" w:cs="Arial" w:hAnsi="Arial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十九、网上支付：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否</w:t>
      </w:r>
    </w:p>
    <w:p>
      <w:pPr>
        <w:pStyle w:val="30"/>
        <w:spacing w:line="480" w:lineRule="auto"/>
        <w:rPr>
          <w:rFonts w:ascii="Arial" w:cs="Arial" w:hAnsi="Arial"/>
          <w:color w:val="222222"/>
          <w:sz w:val="32"/>
          <w:szCs w:val="32"/>
        </w:rPr>
      </w:pPr>
      <w:r>
        <w:rPr>
          <w:rFonts w:ascii="Arial" w:cs="Arial" w:hAnsi="Arial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二十、物流快递：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支持物流快递</w:t>
      </w:r>
    </w:p>
    <w:p>
      <w:pPr>
        <w:pStyle w:val="3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Arial" w:cs="Arial" w:hAnsi="Arial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二十一、办理地点：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“</w:t>
      </w:r>
      <w:r>
        <w:rPr>
          <w:rFonts w:ascii="方正仿宋_GBK" w:eastAsia="方正仿宋_GBK" w:cs="Arial"/>
          <w:color w:val="222222"/>
          <w:sz w:val="32"/>
          <w:szCs w:val="32"/>
        </w:rPr>
        <w:t>海关政务服务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”一体化网上办事平台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（</w:t>
      </w:r>
      <w:r>
        <w:rPr>
          <w:rStyle w:val="0"/>
          <w:rFonts w:ascii="Times New Roman" w:eastAsia="方正仿宋_GBK" w:cs="Times New Roman" w:hAnsi="Times New Roman"/>
          <w:color w:val="222222"/>
          <w:kern w:val="0"/>
          <w:sz w:val="32"/>
          <w:szCs w:val="32"/>
        </w:rPr>
        <w:t>http://online.customs.gov.cn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）或海关行政审批网上办理平台（网址：</w:t>
      </w:r>
      <w:r>
        <w:rPr>
          <w:rStyle w:val="0"/>
          <w:rFonts w:ascii="Times New Roman" w:eastAsia="方正仿宋_GBK" w:cs="Times New Roman" w:hAnsi="Times New Roman"/>
          <w:color w:val="222222"/>
          <w:kern w:val="0"/>
          <w:sz w:val="32"/>
          <w:szCs w:val="32"/>
        </w:rPr>
        <w:t>http://pre.chinaport.gov.cn/car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）。</w:t>
      </w:r>
    </w:p>
    <w:p>
      <w:pPr>
        <w:pStyle w:val="30"/>
        <w:spacing w:line="480" w:lineRule="auto"/>
        <w:rPr>
          <w:rFonts w:ascii="Arial" w:cs="Arial" w:hAnsi="Arial"/>
          <w:color w:val="222222"/>
          <w:sz w:val="32"/>
          <w:szCs w:val="32"/>
        </w:rPr>
      </w:pPr>
      <w:r>
        <w:rPr>
          <w:rFonts w:ascii="Arial" w:cs="Arial" w:hAnsi="Arial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二十二、办理时间：</w:t>
      </w:r>
    </w:p>
    <w:p>
      <w:pPr>
        <w:pStyle w:val="3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Arial" w:cs="Arial" w:hAnsi="Arial"/>
          <w:color w:val="222222"/>
          <w:sz w:val="32"/>
          <w:szCs w:val="32"/>
        </w:rPr>
        <w:t>　　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（一）企业申请时间：24小时；</w:t>
      </w:r>
    </w:p>
    <w:p>
      <w:pPr>
        <w:pStyle w:val="30"/>
        <w:spacing w:line="480" w:lineRule="auto"/>
        <w:rPr>
          <w:rFonts w:ascii="方正仿宋_GBK" w:eastAsia="方正仿宋_GBK" w:cs="Arial"/>
          <w:color w:val="222222"/>
          <w:sz w:val="32"/>
          <w:szCs w:val="32"/>
        </w:rPr>
      </w:pPr>
      <w:r>
        <w:rPr>
          <w:rFonts w:ascii="方正仿宋_GBK" w:eastAsia="方正仿宋_GBK" w:cs="Arial" w:hint="eastAsia"/>
          <w:color w:val="222222"/>
          <w:sz w:val="32"/>
          <w:szCs w:val="32"/>
        </w:rPr>
        <w:t>　　（二）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各直属海关审核办理时间：各直属海关工作时间；</w:t>
      </w:r>
      <w:r>
        <w:rPr>
          <w:rStyle w:val="0"/>
          <w:rFonts w:ascii="方正仿宋_GBK" w:eastAsia="方正仿宋_GBK" w:hint="eastAsia"/>
          <w:color w:val="222222"/>
          <w:kern w:val="0"/>
          <w:sz w:val="32"/>
          <w:szCs w:val="32"/>
        </w:rPr>
        <w:t>青岛海关行政审批受理场所咨询电话</w:t>
      </w:r>
      <w:r>
        <w:rPr>
          <w:rFonts w:ascii="方正仿宋_GBK" w:eastAsia="方正仿宋_GBK" w:cs="Arial" w:hint="eastAsia"/>
          <w:color w:val="222222"/>
          <w:sz w:val="32"/>
          <w:szCs w:val="32"/>
        </w:rPr>
        <w:t>。</w:t>
      </w:r>
    </w:p>
    <w:p>
      <w:pPr>
        <w:pStyle w:val="30"/>
        <w:spacing w:line="480" w:lineRule="auto"/>
        <w:rPr>
          <w:rFonts w:ascii="Times New Roman" w:eastAsia="方正仿宋_GBK" w:cs="Times New Roman" w:hAnsi="Times New Roman"/>
          <w:color w:val="222222"/>
          <w:sz w:val="32"/>
          <w:szCs w:val="32"/>
        </w:rPr>
      </w:pPr>
      <w:r>
        <w:rPr>
          <w:rFonts w:ascii="Arial" w:cs="Arial" w:hAnsi="Arial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二十三、咨询电话：</w:t>
      </w:r>
      <w:r>
        <w:rPr>
          <w:rStyle w:val="0"/>
          <w:rFonts w:ascii="Times New Roman" w:eastAsia="方正仿宋_GBK" w:cs="Times New Roman" w:hAnsi="Times New Roman" w:hint="eastAsia"/>
          <w:color w:val="222222"/>
          <w:kern w:val="0"/>
          <w:sz w:val="32"/>
          <w:szCs w:val="32"/>
        </w:rPr>
        <w:t>青岛海关行政审批受理场所咨询电话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或拨打海关“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12360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”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热线。</w:t>
      </w:r>
    </w:p>
    <w:p>
      <w:pPr>
        <w:pStyle w:val="30"/>
        <w:spacing w:line="480" w:lineRule="auto"/>
        <w:sectPr>
          <w:pgSz w:w="11907" w:h="16840"/>
          <w:pgMar w:top="1440" w:right="1440" w:bottom="1440" w:left="1440" w:header="851" w:footer="992" w:gutter="0"/>
          <w:docGrid w:type="lines" w:linePitch="312" w:charSpace="0"/>
        </w:sectPr>
      </w:pPr>
      <w:r>
        <w:rPr>
          <w:rFonts w:ascii="Times New Roman" w:cs="Times New Roman" w:hAnsi="Times New Roman"/>
          <w:color w:val="222222"/>
          <w:sz w:val="32"/>
          <w:szCs w:val="32"/>
        </w:rPr>
        <w:t>　　</w:t>
      </w:r>
      <w:r>
        <w:rPr>
          <w:rFonts w:ascii="Times New Roman" w:eastAsia="方正黑体_GBK" w:cs="Times New Roman" w:hAnsi="Times New Roman"/>
          <w:color w:val="222222"/>
          <w:sz w:val="32"/>
          <w:szCs w:val="32"/>
        </w:rPr>
        <w:t>二十四、监督电话：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青岛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海关监督电话（</w:t>
      </w:r>
      <w:r>
        <w:rPr>
          <w:rStyle w:val="0"/>
          <w:rFonts w:ascii="Times New Roman" w:eastAsia="方正仿宋_GBK" w:cs="Times New Roman" w:hAnsi="Times New Roman" w:hint="eastAsia"/>
          <w:color w:val="222222"/>
          <w:kern w:val="0"/>
          <w:sz w:val="32"/>
          <w:szCs w:val="32"/>
        </w:rPr>
        <w:t>违规举报0532-80886671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）或拨打海关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“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12360</w:t>
      </w:r>
      <w:r>
        <w:rPr>
          <w:rFonts w:ascii="Times New Roman" w:eastAsia="方正仿宋_GBK" w:cs="Times New Roman" w:hAnsi="Times New Roman" w:hint="eastAsia"/>
          <w:color w:val="222222"/>
          <w:sz w:val="32"/>
          <w:szCs w:val="32"/>
        </w:rPr>
        <w:t>”</w:t>
      </w:r>
      <w:r>
        <w:rPr>
          <w:rFonts w:ascii="Times New Roman" w:eastAsia="方正仿宋_GBK" w:cs="Times New Roman" w:hAnsi="Times New Roman"/>
          <w:color w:val="222222"/>
          <w:sz w:val="32"/>
          <w:szCs w:val="32"/>
        </w:rPr>
        <w:t>热线。</w:t>
      </w:r>
    </w:p>
    <w:p>
      <w:pPr>
        <w:spacing w:line="560" w:lineRule="exact"/>
        <w:rPr>
          <w:sz w:val="32"/>
          <w:szCs w:val="32"/>
        </w:rPr>
      </w:pPr>
    </w:p>
    <w:sectPr>
      <w:footerReference w:type="default" r:id="rId2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1"/>
      <w:tabs>
        <w:tab w:val="center" w:pos="4153"/>
        <w:tab w:val="right" w:pos="8307"/>
      </w:tabs>
      <w:jc w:val="center"/>
      <w:rPr>
        <w:sz w:val="32"/>
        <w:szCs w:val="32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5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7"/>
    <w:basedOn w:val="0"/>
    <w:autoRedefine/>
    <w:next w:val="0"/>
    <w:pPr>
      <w:ind w:left="2520"/>
    </w:pPr>
  </w:style>
  <w:style w:type="paragraph" w:styleId="16">
    <w:name w:val="index 8"/>
    <w:basedOn w:val="0"/>
    <w:autoRedefine/>
    <w:next w:val="0"/>
    <w:pPr>
      <w:ind w:left="2940"/>
    </w:pPr>
  </w:style>
  <w:style w:type="paragraph" w:styleId="17">
    <w:name w:val="index 9"/>
    <w:basedOn w:val="0"/>
    <w:autoRedefine/>
    <w:next w:val="0"/>
    <w:pPr>
      <w:ind w:left="3360"/>
    </w:pPr>
  </w:style>
  <w:style w:type="paragraph" w:styleId="18">
    <w:name w:val="toc 1"/>
    <w:basedOn w:val="0"/>
    <w:autoRedefine/>
    <w:next w:val="0"/>
  </w:style>
  <w:style w:type="paragraph" w:styleId="19">
    <w:name w:val="footnote text"/>
    <w:next w:val="0"/>
    <w:pPr>
      <w:widowControl w:val="0"/>
      <w:snapToGrid w:val="0"/>
    </w:pPr>
    <w:rPr>
      <w:rFonts w:ascii="Times New Roman" w:eastAsia="宋体" w:cs="Arial" w:hAnsi="Times New Roman"/>
      <w:sz w:val="18"/>
      <w:szCs w:val="21"/>
      <w:lang w:val="en-US" w:eastAsia="zh-CN" w:bidi="ar-SA"/>
    </w:rPr>
  </w:style>
  <w:style w:type="paragraph" w:styleId="20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1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22">
    <w:name w:val="footnote reference"/>
    <w:rPr>
      <w:vertAlign w:val="superscript"/>
    </w:rPr>
  </w:style>
  <w:style w:type="character" w:styleId="23">
    <w:name w:val="Hyperlink"/>
    <w:rPr>
      <w:color w:val="0000FF"/>
      <w:u w:val="single"/>
    </w:rPr>
  </w:style>
  <w:style w:type="paragraph" w:customStyle="1" w:styleId="24">
    <w:name w:val="样式 30 10 磅"/>
    <w:next w:val="16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5">
    <w:name w:val="样式 16 10 磅"/>
    <w:next w:val="18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6">
    <w:name w:val="样式 10 磅"/>
    <w:next w:val="17"/>
    <w:pPr>
      <w:widowControl w:val="0"/>
      <w:jc w:val="both"/>
    </w:pPr>
    <w:rPr>
      <w:rFonts w:ascii="Times New Roman" w:eastAsia="Arial Unicode MS" w:cs="Arial Unicode MS" w:hAnsi="Times New Roman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7">
    <w:name w:val="样式 31 10 磅"/>
    <w:next w:val="15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28">
    <w:name w:val="样式 29 10 磅"/>
    <w:next w:val="16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styleId="29">
    <w:name w:val="Balloon Text"/>
    <w:basedOn w:val="0"/>
    <w:rPr>
      <w:sz w:val="18"/>
      <w:szCs w:val="18"/>
    </w:rPr>
  </w:style>
  <w:style w:type="paragraph" w:styleId="30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styleId="31">
    <w:name w:val="FollowedHyperlink"/>
    <w:basedOn w:val="10"/>
    <w:rPr>
      <w:color w:val="800080"/>
      <w:u w:val="single"/>
    </w:rPr>
  </w:style>
  <w:style w:type="paragraph" w:customStyle="1" w:styleId="32">
    <w:name w:val="样式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33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4">
    <w:name w:val="样式 1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35">
    <w:name w:val="样式 1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6">
    <w:name w:val="样式 2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37">
    <w:name w:val="样式 2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38">
    <w:name w:val="样式 3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39">
    <w:name w:val="样式 3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0">
    <w:name w:val="样式 4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41">
    <w:name w:val="样式 4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2">
    <w:name w:val="样式 5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43">
    <w:name w:val="样式 5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4">
    <w:name w:val="样式 6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45">
    <w:name w:val="样式 6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6">
    <w:name w:val="样式 7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47">
    <w:name w:val="样式 7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8">
    <w:name w:val="样式 8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49">
    <w:name w:val="样式 8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0">
    <w:name w:val="样式 9 "/>
    <w:rPr>
      <w:rFonts w:ascii="Times New Roman" w:eastAsia="宋体" w:cs="Times New Roman" w:hAnsi="Times New Roman"/>
      <w:color w:val="0000FF"/>
      <w:u w:val="single"/>
      <w:lang w:val="en-US" w:eastAsia="zh-CN" w:bidi="ar-SA"/>
    </w:rPr>
  </w:style>
  <w:style w:type="paragraph" w:customStyle="1" w:styleId="51">
    <w:name w:val="样式 9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85</TotalTime>
  <Application>Yozo_Office</Application>
  <Pages>7</Pages>
  <Words>1974</Words>
  <Characters>2150</Characters>
  <Lines>108</Lines>
  <Paragraphs>66</Paragraphs>
  <CharactersWithSpaces>2254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王晓凯</cp:lastModifiedBy>
  <cp:revision>10</cp:revision>
  <cp:lastPrinted>2024-09-09T07:52:27Z</cp:lastPrinted>
  <dcterms:created xsi:type="dcterms:W3CDTF">2022-02-10T01:37:00Z</dcterms:created>
  <dcterms:modified xsi:type="dcterms:W3CDTF">2026-06-11T06:55:47Z</dcterms:modified>
</cp:coreProperties>
</file>