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overflowPunct w:val="0"/>
        <w:jc w:val="center"/>
        <w:rPr>
          <w:rFonts w:eastAsia="方正小标宋_GBK"/>
          <w:color w:val="FF0000"/>
          <w:spacing w:val="60"/>
          <w:sz w:val="96"/>
          <w:szCs w:val="96"/>
        </w:rPr>
      </w:pPr>
      <w:bookmarkStart w:id="0" w:name="_Hlk98409133"/>
      <w:bookmarkEnd w:id="0"/>
    </w:p>
    <w:p>
      <w:pPr>
        <w:overflowPunct w:val="0"/>
        <w:jc w:val="center"/>
        <w:rPr>
          <w:rFonts w:eastAsia="方正小标宋_GBK"/>
          <w:color w:val="FF0000"/>
          <w:spacing w:val="60"/>
          <w:sz w:val="96"/>
          <w:szCs w:val="96"/>
        </w:rPr>
      </w:pPr>
      <w:r>
        <w:rPr>
          <w:rFonts w:eastAsia="方正小标宋_GBK"/>
          <w:color w:val="FF0000"/>
          <w:spacing w:val="60"/>
          <w:sz w:val="96"/>
          <w:szCs w:val="96"/>
        </w:rPr>
        <w:t>食品安全信息快报</w:t>
      </w:r>
    </w:p>
    <w:p>
      <w:pPr>
        <w:overflowPunct w:val="0"/>
        <w:spacing w:line="260" w:lineRule="exact"/>
        <w:rPr>
          <w:rFonts w:eastAsia="方正小标宋_GBK"/>
          <w:sz w:val="10"/>
          <w:szCs w:val="10"/>
        </w:rPr>
      </w:pPr>
    </w:p>
    <w:p>
      <w:pPr>
        <w:overflowPunct w:val="0"/>
        <w:spacing w:afterLines="50" w:after="143" w:line="600" w:lineRule="exact"/>
        <w:jc w:val="center"/>
        <w:rPr>
          <w:rFonts w:eastAsia="方正楷体_GBK"/>
          <w:sz w:val="32"/>
          <w:szCs w:val="32"/>
        </w:rPr>
      </w:pPr>
      <w:r>
        <w:rPr>
          <w:rFonts w:eastAsia="方正楷体_GBK"/>
          <w:sz w:val="32"/>
          <w:szCs w:val="32"/>
        </w:rPr>
        <w:t>2026年第43期</w:t>
      </w:r>
    </w:p>
    <w:p>
      <w:pPr>
        <w:overflowPunct w:val="0"/>
        <w:spacing w:afterLines="50" w:after="143" w:line="600" w:lineRule="exact"/>
        <w:jc w:val="center"/>
        <w:rPr>
          <w:rFonts w:eastAsia="方正楷体_GBK"/>
          <w:sz w:val="32"/>
          <w:szCs w:val="32"/>
        </w:rPr>
      </w:pPr>
    </w:p>
    <w:p>
      <w:pPr>
        <w:pStyle w:val="25"/>
        <w:tabs>
          <w:tab w:val="left" w:pos="630"/>
          <w:tab w:val="right" w:leader="dot" w:pos="8608"/>
        </w:tabs>
        <w:rPr>
          <w:rFonts w:ascii="等线" w:eastAsia="等线" w:cs="Arial" w:hAnsi="等线" w:hint="eastAsia"/>
          <w:b w:val="0"/>
          <w:bCs w:val="0"/>
          <w:caps w:val="0"/>
          <w:smallCaps w:val="0"/>
          <w:color w:val="auto"/>
          <w:sz w:val="22"/>
          <w:szCs w:val="24"/>
        </w:rPr>
      </w:pPr>
      <w:r>
        <w:rPr>
          <w:rStyle w:val="33"/>
          <w:rFonts w:ascii="Times New Roman" w:eastAsia="方正仿宋_GBK" w:hAnsi="Times New Roman" w:hint="eastAsia"/>
        </w:rPr>
        <w:fldChar w:fldCharType="begin"/>
      </w:r>
      <w:r>
        <w:rPr>
          <w:rStyle w:val="33"/>
          <w:rFonts w:ascii="Times New Roman" w:eastAsia="方正仿宋_GBK" w:hAnsi="Times New Roman" w:hint="eastAsia"/>
        </w:rPr>
        <w:instrText xml:space="preserve"> TOC \o "1-1" \h \z \u </w:instrText>
      </w:r>
      <w:r>
        <w:rPr>
          <w:rStyle w:val="33"/>
          <w:rFonts w:ascii="Times New Roman" w:eastAsia="方正仿宋_GBK" w:hAnsi="Times New Roman" w:hint="eastAsia"/>
        </w:rPr>
        <w:fldChar w:fldCharType="separate"/>
      </w:r>
      <w:r>
        <w:fldChar w:fldCharType="begin"/>
      </w:r>
      <w:r>
        <w:instrText>Hyperlink \l "_Toc239868474"</w:instrText>
      </w:r>
      <w:r>
        <w:fldChar w:fldCharType="separate"/>
      </w:r>
      <w:r>
        <w:rPr>
          <w:rFonts w:ascii="方正黑体_GBK" w:eastAsia="方正黑体_GBK" w:cs="宋体"/>
          <w:kern w:val="0"/>
        </w:rPr>
        <w:t>一、 进出口食品安全信息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"_Toc239868476"</w:instrText>
      </w:r>
      <w:r>
        <w:fldChar w:fldCharType="separate"/>
      </w:r>
      <w:r>
        <w:rPr>
          <w:rFonts w:ascii="方正楷体_GBK" w:eastAsia="方正楷体_GBK" w:cs="宋体"/>
          <w:kern w:val="0"/>
        </w:rPr>
        <w:t>（一）联合国粮农组织发布食品中兽药残留风险评估新工具新方法。</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"_Toc239868477"</w:instrText>
      </w:r>
      <w:r>
        <w:fldChar w:fldCharType="separate"/>
      </w:r>
      <w:r>
        <w:rPr>
          <w:rFonts w:ascii="方正楷体_GBK" w:eastAsia="方正楷体_GBK" w:cs="宋体"/>
          <w:kern w:val="0"/>
        </w:rPr>
        <w:t>（二）联合国粮农组织发布食品安全与人工智能研究报告。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"_Toc239868478"</w:instrText>
      </w:r>
      <w:r>
        <w:fldChar w:fldCharType="separate"/>
      </w:r>
      <w:r>
        <w:rPr>
          <w:rFonts w:ascii="方正楷体_GBK" w:eastAsia="方正楷体_GBK" w:cs="宋体"/>
          <w:kern w:val="0"/>
        </w:rPr>
        <w:t>（三）欧盟拟批准将咖啡果提取物作为新型食品。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"_Toc239868479"</w:instrText>
      </w:r>
      <w:r>
        <w:fldChar w:fldCharType="separate"/>
      </w:r>
      <w:r>
        <w:rPr>
          <w:rFonts w:ascii="方正楷体_GBK" w:eastAsia="方正楷体_GBK" w:cs="宋体"/>
          <w:kern w:val="0"/>
        </w:rPr>
        <w:t>（四）欧盟拟修订部分食品中二氟乙酸的最大残留限量。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"_Toc239868480"</w:instrText>
      </w:r>
      <w:r>
        <w:fldChar w:fldCharType="separate"/>
      </w:r>
      <w:r>
        <w:rPr>
          <w:rFonts w:ascii="方正楷体_GBK" w:eastAsia="方正楷体_GBK" w:cs="宋体"/>
          <w:kern w:val="0"/>
        </w:rPr>
        <w:t>（五）欧盟拟批准S-乙酰谷胱甘肽作为新型食品。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"_Toc239868481"</w:instrText>
      </w:r>
      <w:r>
        <w:fldChar w:fldCharType="separate"/>
      </w:r>
      <w:r>
        <w:rPr>
          <w:rFonts w:ascii="方正楷体_GBK" w:eastAsia="方正楷体_GBK" w:cs="宋体"/>
          <w:kern w:val="0"/>
        </w:rPr>
        <w:t>（六）欧盟拟修订部分食品中磷酸钾的最大残留限量。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"_Toc239868482"</w:instrText>
      </w:r>
      <w:r>
        <w:fldChar w:fldCharType="separate"/>
      </w:r>
      <w:r>
        <w:rPr>
          <w:rFonts w:ascii="方正楷体_GBK" w:eastAsia="方正楷体_GBK" w:cs="宋体"/>
          <w:kern w:val="0"/>
        </w:rPr>
        <w:t>（七）欧盟修订部分乳制品及水产品准入要求。</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"_Toc239868483"</w:instrText>
      </w:r>
      <w:r>
        <w:fldChar w:fldCharType="separate"/>
      </w:r>
      <w:r>
        <w:rPr>
          <w:rFonts w:ascii="方正楷体_GBK" w:eastAsia="方正楷体_GBK" w:cs="宋体"/>
          <w:kern w:val="0"/>
        </w:rPr>
        <w:t>（八）英国发布2025-2026年野生捕捞鱼类、甲壳类和头足类化学污染物调查报告。</w:t>
      </w:r>
      <w:r>
        <w:fldChar w:fldCharType="end"/>
      </w:r>
    </w:p>
    <w:p>
      <w:pPr>
        <w:pStyle w:val="25"/>
        <w:tabs>
          <w:tab w:val="left" w:pos="630"/>
          <w:tab w:val="left" w:pos="1368"/>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"_Toc239868484"</w:instrText>
      </w:r>
      <w:r>
        <w:fldChar w:fldCharType="separate"/>
      </w:r>
      <w:r>
        <w:rPr>
          <w:rFonts w:ascii="方正楷体_GBK" w:eastAsia="方正楷体_GBK" w:cs="宋体"/>
          <w:kern w:val="0"/>
        </w:rPr>
        <w:t>（九）匈牙利发布2026年夏季季节性食品安全专项检测报告。</w:t>
      </w:r>
      <w:r>
        <w:fldChar w:fldCharType="end"/>
      </w:r>
    </w:p>
    <w:p>
      <w:pPr>
        <w:pStyle w:val="25"/>
        <w:tabs>
          <w:tab w:val="left" w:pos="630"/>
          <w:tab w:val="left" w:pos="210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"_Toc239868485"</w:instrText>
      </w:r>
      <w:r>
        <w:fldChar w:fldCharType="separate"/>
      </w:r>
      <w:r>
        <w:rPr>
          <w:rFonts w:ascii="方正楷体_GBK" w:eastAsia="方正楷体_GBK" w:cs="宋体"/>
          <w:kern w:val="0"/>
        </w:rPr>
        <w:t>（十）卢森堡发布2024年度食品中食品添加剂监管报告。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"_Toc239868486"</w:instrText>
      </w:r>
      <w:r>
        <w:fldChar w:fldCharType="separate"/>
      </w:r>
      <w:r>
        <w:rPr>
          <w:rFonts w:ascii="方正楷体_GBK" w:eastAsia="方正楷体_GBK" w:cs="宋体"/>
          <w:kern w:val="0"/>
        </w:rPr>
        <w:t>（十一）瑞士发布2025年度动物用抗生素使用报告。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"_Toc239868487"</w:instrText>
      </w:r>
      <w:r>
        <w:fldChar w:fldCharType="separate"/>
      </w:r>
      <w:r>
        <w:rPr>
          <w:rFonts w:ascii="方正楷体_GBK" w:eastAsia="方正楷体_GBK" w:cs="宋体"/>
          <w:kern w:val="0"/>
        </w:rPr>
        <w:t>（十二）摩尔多瓦发布进口食品标签要求。</w:t>
      </w:r>
      <w:r>
        <w:fldChar w:fldCharType="end"/>
      </w:r>
    </w:p>
    <w:p>
      <w:pPr>
        <w:pStyle w:val="25"/>
        <w:tabs>
          <w:tab w:val="left" w:pos="630"/>
          <w:tab w:val="left" w:pos="210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"_Toc239868488"</w:instrText>
      </w:r>
      <w:r>
        <w:fldChar w:fldCharType="separate"/>
      </w:r>
      <w:r>
        <w:rPr>
          <w:rFonts w:ascii="方正楷体_GBK" w:eastAsia="方正楷体_GBK" w:cs="宋体"/>
          <w:kern w:val="0"/>
        </w:rPr>
        <w:t>（十三）摩尔多瓦拟制订对食品中某些污染物监测的建议。</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"_Toc239868489"</w:instrText>
      </w:r>
      <w:r>
        <w:fldChar w:fldCharType="separate"/>
      </w:r>
      <w:r>
        <w:rPr>
          <w:rFonts w:ascii="方正楷体_GBK" w:eastAsia="方正楷体_GBK" w:cs="宋体"/>
          <w:kern w:val="0"/>
        </w:rPr>
        <w:t>（十四）乌克兰拟制订特殊医疗用途食品成分要求。</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"_Toc239868490"</w:instrText>
      </w:r>
      <w:r>
        <w:fldChar w:fldCharType="separate"/>
      </w:r>
      <w:r>
        <w:rPr>
          <w:rFonts w:ascii="方正楷体_GBK" w:eastAsia="方正楷体_GBK" w:cs="宋体"/>
          <w:kern w:val="0"/>
        </w:rPr>
        <w:t>（十五）澳大利亚修订澳新食品标准规范。</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"_Toc239868491"</w:instrText>
      </w:r>
      <w:r>
        <w:fldChar w:fldCharType="separate"/>
      </w:r>
      <w:r>
        <w:rPr>
          <w:rFonts w:ascii="方正楷体_GBK" w:eastAsia="方正楷体_GBK" w:cs="宋体"/>
          <w:kern w:val="0"/>
        </w:rPr>
        <w:t>（十六）澳大利亚修订部分食品中萎锈灵等农药的最大残留限量。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"_Toc239868492"</w:instrText>
      </w:r>
      <w:r>
        <w:fldChar w:fldCharType="separate"/>
      </w:r>
      <w:r>
        <w:rPr>
          <w:rFonts w:ascii="方正楷体_GBK" w:eastAsia="方正楷体_GBK" w:cs="宋体"/>
          <w:kern w:val="0"/>
        </w:rPr>
        <w:t>（十七）新西兰发布2026/27年度国家乳品化学残留物与污染物监测计划采样方案。</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"_Toc239868493"</w:instrText>
      </w:r>
      <w:r>
        <w:fldChar w:fldCharType="separate"/>
      </w:r>
      <w:r>
        <w:rPr>
          <w:rFonts w:ascii="方正楷体_GBK" w:eastAsia="方正楷体_GBK" w:cs="宋体"/>
          <w:kern w:val="0"/>
        </w:rPr>
        <w:t>（十八）加拿大发布食品中邻苯二甲酸酯抽检报告。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"_Toc239868494"</w:instrText>
      </w:r>
      <w:r>
        <w:fldChar w:fldCharType="separate"/>
      </w:r>
      <w:r>
        <w:rPr>
          <w:rFonts w:ascii="方正楷体_GBK" w:eastAsia="方正楷体_GBK" w:cs="宋体"/>
          <w:kern w:val="0"/>
        </w:rPr>
        <w:t>（十九）土耳其发布啤酒新规公报。</w:t>
      </w:r>
      <w:r>
        <w:fldChar w:fldCharType="end"/>
      </w:r>
    </w:p>
    <w:p>
      <w:pPr>
        <w:pStyle w:val="25"/>
        <w:tabs>
          <w:tab w:val="left" w:pos="630"/>
          <w:tab w:val="right" w:leader="dot" w:pos="8608"/>
        </w:tabs>
      </w:pPr>
      <w:r>
        <w:fldChar w:fldCharType="begin"/>
      </w:r>
      <w:r>
        <w:instrText>Hyperlink \l "_Toc239868495"</w:instrText>
      </w:r>
      <w:r>
        <w:fldChar w:fldCharType="separate"/>
      </w:r>
      <w:r>
        <w:rPr>
          <w:rFonts w:ascii="方正楷体_GBK" w:eastAsia="方正楷体_GBK" w:cs="宋体"/>
          <w:kern w:val="0"/>
        </w:rPr>
        <w:t>（二十）土耳其修订干洋葱等食品进口关税税率。</w:t>
      </w:r>
      <w:r>
        <w:fldChar w:fldCharType="end"/>
      </w:r>
    </w:p>
    <w:p>
      <w:pPr>
        <w:pStyle w:val="787"/>
        <w:tabs>
          <w:tab w:val="left" w:pos="630"/>
          <w:tab w:val="right" w:leader="dot" w:pos="8608"/>
          <w:tab w:val="right" w:leader="dot" w:pos="8957"/>
        </w:tabs>
        <w:rPr>
          <w:rFonts w:ascii="等线" w:eastAsia="等线" w:cs="Arial" w:hAnsi="等线" w:hint="eastAsia"/>
          <w:b w:val="0"/>
          <w:bCs w:val="0"/>
          <w:caps w:val="0"/>
          <w:smallCaps w:val="0"/>
          <w:color w:val="auto"/>
          <w:sz w:val="22"/>
          <w:szCs w:val="24"/>
        </w:rPr>
      </w:pPr>
      <w:r>
        <w:t>{Hyperlink \l "_Toc78954742"|</w:t>
      </w:r>
      <w:r>
        <w:fldChar w:fldCharType="begin"/>
      </w:r>
      <w:r>
        <w:instrText>Hyperlink \l "_Toc239868496"</w:instrText>
      </w:r>
      <w:r>
        <w:fldChar w:fldCharType="separate"/>
      </w:r>
      <w:r>
        <w:rPr>
          <w:rFonts w:ascii="方正楷体_GBK" w:eastAsia="方正楷体_GBK" w:cs="宋体"/>
          <w:kern w:val="0"/>
        </w:rPr>
        <w:t>（二十一）韩国拟修订贴牌进口食品等卫生检查标准及卫生评价方法。</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"_Toc239868497"</w:instrText>
      </w:r>
      <w:r>
        <w:fldChar w:fldCharType="separate"/>
      </w:r>
      <w:r>
        <w:rPr>
          <w:rFonts w:ascii="方正楷体_GBK" w:eastAsia="方正楷体_GBK" w:cs="宋体"/>
          <w:kern w:val="0"/>
        </w:rPr>
        <w:t>（二十二）韩国将实施中秋节前夕节令食品联合检查。</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"_Toc239868498"</w:instrText>
      </w:r>
      <w:r>
        <w:fldChar w:fldCharType="separate"/>
      </w:r>
      <w:r>
        <w:rPr>
          <w:rFonts w:ascii="方正楷体_GBK" w:eastAsia="方正楷体_GBK" w:cs="宋体"/>
          <w:kern w:val="0"/>
        </w:rPr>
        <w:t>（二十三）韩国发布白菜中甲醛的检测方法。</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"_Toc239868499"</w:instrText>
      </w:r>
      <w:r>
        <w:fldChar w:fldCharType="separate"/>
      </w:r>
      <w:r>
        <w:rPr>
          <w:rFonts w:ascii="方正楷体_GBK" w:eastAsia="方正楷体_GBK" w:cs="宋体"/>
          <w:kern w:val="0"/>
        </w:rPr>
        <w:t>（二十四）韩国发布转基因食品标签标准修订草案。</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"_Toc239868500"</w:instrText>
      </w:r>
      <w:r>
        <w:fldChar w:fldCharType="separate"/>
      </w:r>
      <w:r>
        <w:rPr>
          <w:rFonts w:ascii="方正楷体_GBK" w:eastAsia="方正楷体_GBK" w:cs="宋体"/>
          <w:kern w:val="0"/>
        </w:rPr>
        <w:t>（二十五）泰国发布动物和植物油脂碘值测定的新版工业标准。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"_Toc239868501"</w:instrText>
      </w:r>
      <w:r>
        <w:fldChar w:fldCharType="separate"/>
      </w:r>
      <w:r>
        <w:rPr>
          <w:rFonts w:ascii="方正楷体_GBK" w:eastAsia="方正楷体_GBK" w:cs="宋体"/>
          <w:kern w:val="0"/>
        </w:rPr>
        <w:t>（二十六）泰国发布即食辣椒酱新版工业标准。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"_Toc239868502"</w:instrText>
      </w:r>
      <w:r>
        <w:fldChar w:fldCharType="separate"/>
      </w:r>
      <w:r>
        <w:rPr>
          <w:rFonts w:ascii="方正楷体_GBK" w:eastAsia="方正楷体_GBK" w:cs="宋体"/>
          <w:kern w:val="0"/>
        </w:rPr>
        <w:t>（二十七）泰国发布草本茶新规。</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"_Toc239868503"</w:instrText>
      </w:r>
      <w:r>
        <w:fldChar w:fldCharType="separate"/>
      </w:r>
      <w:r>
        <w:rPr>
          <w:rFonts w:ascii="方正楷体_GBK" w:eastAsia="方正楷体_GBK" w:cs="宋体"/>
          <w:kern w:val="0"/>
        </w:rPr>
        <w:t>（二十八）文莱食品局全面接管食品安全监管职能。</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"_Toc239868504"</w:instrText>
      </w:r>
      <w:r>
        <w:fldChar w:fldCharType="separate"/>
      </w:r>
      <w:r>
        <w:rPr>
          <w:rFonts w:ascii="方正楷体_GBK" w:eastAsia="方正楷体_GBK" w:cs="宋体"/>
          <w:kern w:val="0"/>
        </w:rPr>
        <w:t>（二十九）阿塞拜疆确定食品标签上标示致敏原的新要求。</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"_Toc239868505"</w:instrText>
      </w:r>
      <w:r>
        <w:fldChar w:fldCharType="separate"/>
      </w:r>
      <w:r>
        <w:rPr>
          <w:rFonts w:ascii="方正楷体_GBK" w:eastAsia="方正楷体_GBK" w:cs="宋体"/>
          <w:kern w:val="0"/>
        </w:rPr>
        <w:t>（三十）以色列卫生部发布2024年度食品检测报告。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"_Toc239868506"</w:instrText>
      </w:r>
      <w:r>
        <w:fldChar w:fldCharType="separate"/>
      </w:r>
      <w:r>
        <w:rPr>
          <w:rFonts w:ascii="方正楷体_GBK" w:eastAsia="方正楷体_GBK" w:cs="宋体"/>
          <w:kern w:val="0"/>
        </w:rPr>
        <w:t>（三十一）中国香港公布2026年7月份食物安全报告。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"_Toc239868507"</w:instrText>
      </w:r>
      <w:r>
        <w:fldChar w:fldCharType="separate"/>
      </w:r>
      <w:r>
        <w:rPr>
          <w:rFonts w:ascii="方正楷体_GBK" w:eastAsia="方正楷体_GBK" w:cs="宋体"/>
          <w:kern w:val="0"/>
        </w:rPr>
        <w:t>（三十二）中国台湾胡麻油苯骈芘超标 283罐流入市面。</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"_Toc239868508"</w:instrText>
      </w:r>
      <w:r>
        <w:fldChar w:fldCharType="separate"/>
      </w:r>
      <w:r>
        <w:rPr>
          <w:rFonts w:ascii="方正楷体_GBK" w:eastAsia="方正楷体_GBK" w:cs="宋体"/>
          <w:kern w:val="0"/>
        </w:rPr>
        <w:t>（三十三）中国台湾修订食品中多残留抗生素类兽药残留检测方法。</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"_Toc239868509"</w:instrText>
      </w:r>
      <w:r>
        <w:fldChar w:fldCharType="separate"/>
      </w:r>
      <w:r>
        <w:rPr>
          <w:rFonts w:ascii="方正楷体_GBK" w:eastAsia="方正楷体_GBK" w:cs="宋体"/>
          <w:kern w:val="0"/>
        </w:rPr>
        <w:t>（三十四）市场监管总局公开征求《关于深入推进 内外贸产品同线同标同质促进消费扩容提质的 实施意见（征求意见稿）》意见。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"_Toc239868510"</w:instrText>
      </w:r>
      <w:r>
        <w:fldChar w:fldCharType="separate"/>
      </w:r>
      <w:r>
        <w:rPr>
          <w:rFonts w:ascii="方正楷体_GBK" w:eastAsia="方正楷体_GBK" w:cs="宋体"/>
          <w:kern w:val="0"/>
        </w:rPr>
        <w:t>（三十五）国家粮储局对花生等标准公开征求意见。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"_Toc239868511"</w:instrText>
      </w:r>
      <w:r>
        <w:fldChar w:fldCharType="separate"/>
      </w:r>
      <w:r>
        <w:rPr>
          <w:rFonts w:ascii="方正楷体_GBK" w:eastAsia="方正楷体_GBK" w:cs="宋体"/>
          <w:kern w:val="0"/>
        </w:rPr>
        <w:t>（三十六）国家卫健委印发2026年度食品安全国家标准立项计划。</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"_Toc239868512"</w:instrText>
      </w:r>
      <w:r>
        <w:fldChar w:fldCharType="separate"/>
      </w:r>
      <w:r>
        <w:rPr>
          <w:rFonts w:ascii="方正楷体_GBK" w:eastAsia="方正楷体_GBK" w:cs="宋体"/>
          <w:kern w:val="0"/>
        </w:rPr>
        <w:t>（三十七）工信化部发布多项食品行业标准。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"_Toc239868513"</w:instrText>
      </w:r>
      <w:r>
        <w:fldChar w:fldCharType="separate"/>
      </w:r>
      <w:r>
        <w:rPr>
          <w:rFonts w:ascii="方正楷体_GBK" w:eastAsia="方正楷体_GBK" w:cs="宋体"/>
          <w:kern w:val="0"/>
        </w:rPr>
        <w:t>（三十八）工信部发布多项食品化妆品行业标准。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"_Toc239868514"</w:instrText>
      </w:r>
      <w:r>
        <w:fldChar w:fldCharType="separate"/>
      </w:r>
      <w:r>
        <w:rPr>
          <w:rFonts w:ascii="方正楷体_GBK" w:eastAsia="方正楷体_GBK" w:cs="宋体"/>
          <w:kern w:val="0"/>
        </w:rPr>
        <w:t>（三十九）蛋类罐头等多项行业标准和地方标准发布。</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"_Toc239868515"</w:instrText>
      </w:r>
      <w:r>
        <w:fldChar w:fldCharType="separate"/>
      </w:r>
      <w:r>
        <w:rPr>
          <w:rFonts w:ascii="方正楷体_GBK" w:eastAsia="方正楷体_GBK" w:cs="宋体"/>
          <w:kern w:val="0"/>
        </w:rPr>
        <w:t>（四十）桑黄菌丝体等3种新食品原料公开征求意见。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"_Toc239868516"</w:instrText>
      </w:r>
      <w:r>
        <w:fldChar w:fldCharType="separate"/>
      </w:r>
      <w:r>
        <w:rPr>
          <w:rFonts w:ascii="方正楷体_GBK" w:eastAsia="方正楷体_GBK" w:cs="宋体"/>
          <w:kern w:val="0"/>
        </w:rPr>
        <w:t>（四十一）国家标准委发布糙米等多项推荐性国家标准。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"_Toc239868517"</w:instrText>
      </w:r>
      <w:r>
        <w:fldChar w:fldCharType="separate"/>
      </w:r>
      <w:r>
        <w:rPr>
          <w:rFonts w:ascii="方正楷体_GBK" w:eastAsia="方正楷体_GBK" w:cs="宋体"/>
          <w:kern w:val="0"/>
        </w:rPr>
        <w:t>（四十二）市场监管总局发布食品标识监督管理办法实施问答。</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"_Toc239868518"</w:instrText>
      </w:r>
      <w:r>
        <w:fldChar w:fldCharType="separate"/>
      </w:r>
      <w:r>
        <w:rPr>
          <w:rFonts w:ascii="方正楷体_GBK" w:eastAsia="方正楷体_GBK" w:cs="宋体"/>
          <w:kern w:val="0"/>
        </w:rPr>
        <w:t>（四十三）市场监管总局发布新版有机产品认证目录。</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"_Toc239868519"</w:instrText>
      </w:r>
      <w:r>
        <w:fldChar w:fldCharType="separate"/>
      </w:r>
      <w:r>
        <w:rPr>
          <w:rFonts w:ascii="方正楷体_GBK" w:eastAsia="方正楷体_GBK" w:cs="宋体"/>
          <w:kern w:val="0"/>
        </w:rPr>
        <w:t>（四十四）新版农业法正式发布。</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"_Toc239868520"</w:instrText>
      </w:r>
      <w:r>
        <w:fldChar w:fldCharType="separate"/>
      </w:r>
      <w:r>
        <w:rPr>
          <w:rFonts w:ascii="方正楷体_GBK" w:eastAsia="方正楷体_GBK" w:cs="宋体"/>
          <w:kern w:val="0"/>
        </w:rPr>
        <w:t>（四十五）农业农村部公开征求国家突发重大动物疫情应急预案意见。</w:t>
      </w:r>
      <w:r>
        <w:fldChar w:fldCharType="end"/>
      </w:r>
    </w:p>
    <w:p>
      <w:pPr>
        <w:pStyle w:val="25"/>
        <w:tabs>
          <w:tab w:val="left" w:pos="630"/>
          <w:tab w:val="left" w:pos="2208"/>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"_Toc239868521"</w:instrText>
      </w:r>
      <w:r>
        <w:fldChar w:fldCharType="separate"/>
      </w:r>
      <w:r>
        <w:rPr>
          <w:rFonts w:ascii="方正楷体_GBK" w:eastAsia="方正楷体_GBK" w:cs="宋体"/>
          <w:kern w:val="0"/>
        </w:rPr>
        <w:t>（四十六）食用菌罐头质量通则第1号修改单公开征求意见。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"_Toc239868522"</w:instrText>
      </w:r>
      <w:r>
        <w:fldChar w:fldCharType="separate"/>
      </w:r>
      <w:r>
        <w:rPr>
          <w:rFonts w:ascii="方正楷体_GBK" w:eastAsia="方正楷体_GBK" w:cs="宋体"/>
          <w:kern w:val="0"/>
        </w:rPr>
        <w:t>（四十七）禽肉中牛磺酸含量的测定液相色谱-串联质谱法等农业行业标准批准发布。</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"_Toc239868523"</w:instrText>
      </w:r>
      <w:r>
        <w:fldChar w:fldCharType="separate"/>
      </w:r>
      <w:r>
        <w:rPr>
          <w:rFonts w:ascii="方正楷体_GBK" w:eastAsia="方正楷体_GBK" w:cs="宋体"/>
          <w:kern w:val="0"/>
        </w:rPr>
        <w:t>（四十八）卫健委发布关于规范医疗机构特殊医学用途配方食品使用的指导意见。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"_Toc239868524"</w:instrText>
      </w:r>
      <w:r>
        <w:fldChar w:fldCharType="separate"/>
      </w:r>
      <w:r>
        <w:rPr>
          <w:rFonts w:ascii="方正黑体_GBK" w:eastAsia="方正黑体_GBK" w:cs="宋体"/>
          <w:kern w:val="0"/>
        </w:rPr>
        <w:t>二、 进出口化妆品安全信息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"_Toc239868526"</w:instrText>
      </w:r>
      <w:r>
        <w:fldChar w:fldCharType="separate"/>
      </w:r>
      <w:r>
        <w:rPr>
          <w:rFonts w:ascii="方正楷体_GBK" w:eastAsia="方正楷体_GBK" w:cs="宋体"/>
          <w:kern w:val="0"/>
        </w:rPr>
        <w:t>（一）国家药监局发布2025年药品监督管理统计年报。</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"_Toc239868527"</w:instrText>
      </w:r>
      <w:r>
        <w:fldChar w:fldCharType="separate"/>
      </w:r>
      <w:r>
        <w:rPr>
          <w:rFonts w:ascii="方正楷体_GBK" w:eastAsia="方正楷体_GBK" w:cs="宋体"/>
          <w:kern w:val="0"/>
        </w:rPr>
        <w:t>（二）国家药监局发布化妆品产品标准通则。</w:t>
      </w:r>
      <w:r>
        <w:fldChar w:fldCharType="end"/>
      </w:r>
    </w:p>
    <w:p>
      <w:pPr>
        <w:pStyle w:val="25"/>
        <w:tabs>
          <w:tab w:val="clear" w:pos="630"/>
          <w:tab w:val="clear" w:pos="8608"/>
          <w:tab w:val="left" w:pos="3636"/>
        </w:tabs>
        <w:overflowPunct w:val="0"/>
        <w:spacing w:before="0" w:after="0" w:line="480" w:lineRule="exact"/>
        <w:ind w:left="271" w:firstLine="0"/>
        <w:rPr>
          <w:rFonts w:ascii="Times New Roman" w:eastAsia="方正小标宋_GBK" w:hAnsi="Times New Roman"/>
          <w:color w:val="auto"/>
          <w:sz w:val="21"/>
          <w:szCs w:val="22"/>
        </w:rPr>
        <w:sectPr>
          <w:headerReference w:type="default" r:id="rId2"/>
          <w:headerReference w:type="first" r:id="rId3"/>
          <w:footerReference w:type="default" r:id="rId4"/>
          <w:footerReference w:type="first" r:id="rId5"/>
          <w:pgSz w:w="11906" w:h="16838"/>
          <w:pgMar w:top="1361" w:right="1588" w:bottom="1985" w:left="1361" w:header="851" w:footer="1418" w:gutter="0"/>
          <w:cols w:num="1" w:space="720"/>
          <w:titlePg/>
          <w:docGrid w:type="linesAndChars" w:linePitch="286" w:charSpace="-1637"/>
        </w:sectPr>
      </w:pPr>
      <w:r>
        <w:rPr>
          <w:rStyle w:val="33"/>
          <w:rFonts w:ascii="Times New Roman" w:eastAsia="方正仿宋_GBK" w:hAnsi="Times New Roman" w:hint="eastAsia"/>
          <w:bCs w:val="0"/>
          <w:caps w:val="0"/>
          <w:smallCaps w:val="0"/>
        </w:rPr>
        <w:fldChar w:fldCharType="end"/>
      </w:r>
      <w:bookmarkStart w:id="1" w:name="_Toc380680048"/>
      <w:bookmarkStart w:id="2" w:name="_Toc380748631"/>
      <w:bookmarkStart w:id="3" w:name="_Toc381014220"/>
      <w:bookmarkStart w:id="4" w:name="_Toc381603250"/>
      <w:bookmarkStart w:id="5" w:name="_Toc381688430"/>
      <w:bookmarkStart w:id="6" w:name="_Toc381714594"/>
      <w:bookmarkStart w:id="7" w:name="_Toc381868041"/>
      <w:bookmarkStart w:id="8" w:name="_Toc382231490"/>
      <w:bookmarkStart w:id="9" w:name="_Toc382300350"/>
      <w:bookmarkStart w:id="10" w:name="_Toc382488250"/>
      <w:bookmarkStart w:id="11" w:name="_Toc382917929"/>
      <w:bookmarkStart w:id="12" w:name="_Toc382989805"/>
      <w:bookmarkStart w:id="13" w:name="_Toc383607961"/>
      <w:bookmarkStart w:id="14" w:name="_Toc383692749"/>
      <w:bookmarkStart w:id="15" w:name="_Toc383790255"/>
      <w:bookmarkStart w:id="16" w:name="_Toc384107750"/>
      <w:bookmarkStart w:id="17" w:name="_Toc384135045"/>
      <w:bookmarkStart w:id="18" w:name="_Toc384216879"/>
      <w:bookmarkStart w:id="19" w:name="_Toc384297032"/>
      <w:bookmarkStart w:id="20" w:name="_Toc384392435"/>
      <w:bookmarkStart w:id="21" w:name="_Toc386007250"/>
      <w:bookmarkStart w:id="22" w:name="_Toc386461011"/>
      <w:bookmarkStart w:id="23" w:name="_Toc387394066"/>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24" w:name="_Toc112669649"/>
      <w:bookmarkStart w:id="25" w:name="_Toc117169775"/>
      <w:bookmarkStart w:id="26" w:name="_Toc117169776"/>
      <w:bookmarkStart w:id="27" w:name="_Toc117169777"/>
      <w:bookmarkStart w:id="28" w:name="_Toc117169778"/>
      <w:bookmarkStart w:id="29" w:name="_Toc117169779"/>
      <w:bookmarkStart w:id="30" w:name="_Toc117169780"/>
      <w:bookmarkStart w:id="31" w:name="_Toc117169781"/>
      <w:bookmarkStart w:id="32" w:name="_Toc117169782"/>
      <w:bookmarkStart w:id="33" w:name="_Toc239868474"/>
      <w:bookmarkStart w:id="34" w:name="_Toc206758575"/>
      <w:bookmarkStart w:id="35" w:name="_Toc207104924"/>
      <w:bookmarkStart w:id="36" w:name="_Toc207869824"/>
      <w:bookmarkStart w:id="37" w:name="_Toc208834442"/>
      <w:bookmarkStart w:id="38" w:name="_Toc209601406"/>
      <w:bookmarkStart w:id="39" w:name="_Toc210997005"/>
      <w:bookmarkStart w:id="40" w:name="_Toc212104932"/>
      <w:bookmarkStart w:id="41" w:name="_Toc216345333"/>
      <w:bookmarkStart w:id="42" w:name="_Toc217294217"/>
      <w:bookmarkStart w:id="43" w:name="_Toc217560074"/>
      <w:bookmarkStart w:id="44" w:name="_Toc206668172"/>
      <w:bookmarkStart w:id="45" w:name="_Toc195267364"/>
      <w:bookmarkStart w:id="46" w:name="_Toc195604773"/>
      <w:bookmarkStart w:id="47" w:name="_Toc196727745"/>
      <w:bookmarkStart w:id="48" w:name="_Toc197604105"/>
      <w:bookmarkStart w:id="49" w:name="_Toc197945063"/>
      <w:bookmarkStart w:id="50" w:name="_Toc198900643"/>
      <w:bookmarkStart w:id="51" w:name="_Toc200355680"/>
      <w:bookmarkStart w:id="52" w:name="_Toc200617649"/>
      <w:bookmarkStart w:id="53" w:name="_Toc201742889"/>
      <w:bookmarkStart w:id="54" w:name="_Toc202249418"/>
      <w:bookmarkStart w:id="55" w:name="_Toc203045211"/>
      <w:bookmarkStart w:id="56" w:name="_Toc199929914"/>
      <w:bookmarkStart w:id="57" w:name="_Toc193106999"/>
      <w:bookmarkStart w:id="58" w:name="_Toc194315311"/>
      <w:bookmarkStart w:id="59" w:name="_Toc195003190"/>
      <w:bookmarkStart w:id="60" w:name="_Toc195486920"/>
      <w:bookmarkStart w:id="61" w:name="_Toc196214860"/>
      <w:bookmarkStart w:id="62" w:name="_Toc195267365"/>
      <w:bookmarkStart w:id="63" w:name="_Toc195604774"/>
      <w:bookmarkStart w:id="64" w:name="_Toc204255212"/>
      <w:bookmarkStart w:id="65" w:name="_Toc205211241"/>
      <w:bookmarkStart w:id="66" w:name="_Toc206758576"/>
      <w:bookmarkStart w:id="67" w:name="_Toc207869825"/>
      <w:bookmarkStart w:id="68" w:name="_Toc208834443"/>
      <w:bookmarkStart w:id="69" w:name="_Toc209601407"/>
      <w:bookmarkStart w:id="70" w:name="_Toc210899604"/>
      <w:bookmarkStart w:id="71" w:name="_Toc212636957"/>
      <w:bookmarkStart w:id="72" w:name="_Toc213060751"/>
      <w:bookmarkStart w:id="73" w:name="_Toc213316496"/>
      <w:bookmarkStart w:id="74" w:name="_Toc213751756"/>
      <w:bookmarkStart w:id="75" w:name="_Toc213932210"/>
      <w:bookmarkStart w:id="76" w:name="_Toc214962157"/>
      <w:bookmarkStart w:id="77" w:name="_Toc215567798"/>
      <w:bookmarkStart w:id="78" w:name="_Toc216085124"/>
      <w:bookmarkStart w:id="79" w:name="_Toc216345334"/>
      <w:bookmarkStart w:id="80" w:name="_Toc216871361"/>
      <w:bookmarkStart w:id="81" w:name="_Toc217294218"/>
      <w:bookmarkStart w:id="82" w:name="_Toc218498870"/>
      <w:bookmarkStart w:id="83" w:name="_Toc223551053"/>
      <w:bookmarkStart w:id="84" w:name="_Toc198299102"/>
      <w:bookmarkStart w:id="85" w:name="_Toc198720082"/>
      <w:bookmarkStart w:id="86" w:name="_Toc198900644"/>
      <w:bookmarkStart w:id="87" w:name="_Toc200707734"/>
      <w:bookmarkStart w:id="88" w:name="_Toc203045212"/>
      <w:bookmarkStart w:id="89" w:name="_Toc195851993"/>
      <w:bookmarkStart w:id="90" w:name="_Toc196388242"/>
      <w:bookmarkStart w:id="91" w:name="_Toc196727746"/>
      <w:bookmarkStart w:id="92" w:name="_Toc197430475"/>
      <w:bookmarkStart w:id="93" w:name="_Toc197604106"/>
      <w:bookmarkStart w:id="94" w:name="_Toc197945064"/>
      <w:bookmarkStart w:id="95" w:name="_Toc219885051"/>
      <w:bookmarkStart w:id="96" w:name="_Toc223551054"/>
      <w:bookmarkStart w:id="97" w:name="_Toc222871205"/>
      <w:bookmarkStart w:id="98" w:name="_Toc219714251"/>
      <w:bookmarkStart w:id="99" w:name="_Toc65499608"/>
      <w:bookmarkStart w:id="100" w:name="_Toc133950721"/>
      <w:bookmarkStart w:id="101" w:name="_Toc133778250"/>
      <w:bookmarkStart w:id="102" w:name="_Toc134037981"/>
      <w:bookmarkStart w:id="103" w:name="_Toc160794599"/>
      <w:bookmarkStart w:id="104" w:name="_Toc63606952"/>
      <w:bookmarkStart w:id="105" w:name="_Toc65486255"/>
      <w:bookmarkStart w:id="106" w:name="_Toc20770824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ascii="方正黑体_GBK" w:eastAsia="方正黑体_GBK" w:cs="宋体" w:hint="eastAsia"/>
          <w:b w:val="0"/>
          <w:kern w:val="0"/>
          <w:sz w:val="32"/>
          <w:szCs w:val="32"/>
        </w:rPr>
        <w:t>进出口食品安全信息</w:t>
      </w:r>
      <w:bookmarkEnd w:id="33"/>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07" w:name="_Toc239327057"/>
      <w:bookmarkStart w:id="108" w:name="_Toc239807831"/>
      <w:bookmarkStart w:id="109" w:name="_Toc239868476"/>
      <w:bookmarkStart w:id="110" w:name="_Toc238774559"/>
      <w:bookmarkStart w:id="111" w:name="_Toc238204343"/>
      <w:bookmarkStart w:id="112" w:name="_Toc236813467"/>
      <w:bookmarkStart w:id="113" w:name="_Toc236307804"/>
      <w:bookmarkStart w:id="114" w:name="_Toc235747108"/>
      <w:bookmarkStart w:id="115" w:name="_Toc235745237"/>
      <w:bookmarkStart w:id="116" w:name="_Toc235691919"/>
      <w:bookmarkStart w:id="117" w:name="_Toc235092658"/>
      <w:bookmarkStart w:id="118" w:name="_Toc234484644"/>
      <w:bookmarkStart w:id="119" w:name="_Toc233887153"/>
      <w:bookmarkStart w:id="120" w:name="_Toc233887151"/>
      <w:bookmarkStart w:id="121" w:name="_Toc232683647"/>
      <w:bookmarkStart w:id="122" w:name="_Toc232594359"/>
      <w:bookmarkStart w:id="123" w:name="_Toc230766828"/>
      <w:bookmarkStart w:id="124" w:name="_Toc230137389"/>
      <w:bookmarkStart w:id="125" w:name="_Toc228352392"/>
      <w:bookmarkStart w:id="126" w:name="_Toc227718102"/>
      <w:bookmarkStart w:id="127" w:name="_Toc227143197"/>
      <w:bookmarkStart w:id="128" w:name="_Toc226636823"/>
      <w:bookmarkStart w:id="129" w:name="_Toc228267846"/>
      <w:bookmarkStart w:id="130" w:name="_Toc227921436"/>
      <w:bookmarkStart w:id="131" w:name="_Toc225296114"/>
      <w:bookmarkStart w:id="132" w:name="_Toc224554043"/>
      <w:bookmarkStart w:id="133" w:name="_Toc224780225"/>
      <w:bookmarkStart w:id="134" w:name="_Toc225845270"/>
      <w:bookmarkStart w:id="135" w:name="_Toc225498386"/>
      <w:bookmarkStart w:id="136" w:name="_Toc225410571"/>
      <w:bookmarkStart w:id="137" w:name="_Toc226029316"/>
      <w:bookmarkStart w:id="138" w:name="_Toc225930327"/>
      <w:bookmarkStart w:id="139" w:name="_Toc229040525"/>
      <w:bookmarkStart w:id="140" w:name="_Toc229734319"/>
      <w:bookmarkStart w:id="141" w:name="_Toc229646216"/>
      <w:bookmarkStart w:id="142" w:name="_Toc230552600"/>
      <w:bookmarkStart w:id="143" w:name="_Toc230336185"/>
      <w:bookmarkStart w:id="144" w:name="_Toc231384719"/>
      <w:bookmarkStart w:id="145" w:name="_Toc232070246"/>
      <w:bookmarkStart w:id="146" w:name="_Toc232510769"/>
      <w:bookmarkStart w:id="147" w:name="_Toc233288804"/>
      <w:bookmarkStart w:id="148" w:name="_Toc234835482"/>
      <w:bookmarkStart w:id="149" w:name="_Toc235485429"/>
      <w:bookmarkStart w:id="150" w:name="_Toc236668286"/>
      <w:bookmarkStart w:id="151" w:name="_Toc223500555"/>
      <w:bookmarkStart w:id="152" w:name="_Toc224031093"/>
      <w:bookmarkStart w:id="153" w:name="_Toc224207043"/>
      <w:bookmarkStart w:id="154" w:name="_Toc224291269"/>
      <w:bookmarkStart w:id="155" w:name="_Toc237947926"/>
      <w:bookmarkStart w:id="156" w:name="_Toc237506567"/>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Fonts w:ascii="方正楷体_GBK" w:eastAsia="方正楷体_GBK" w:cs="宋体" w:hint="eastAsia"/>
          <w:bCs w:val="0"/>
          <w:kern w:val="0"/>
          <w:sz w:val="32"/>
          <w:szCs w:val="32"/>
        </w:rPr>
        <w:t>联合国粮农组织发布食品中兽药残留风险评估新工具新方法。</w:t>
      </w:r>
      <w:bookmarkEnd w:id="107"/>
      <w:bookmarkEnd w:id="108"/>
      <w:bookmarkEnd w:id="109"/>
    </w:p>
    <w:p>
      <w:pPr>
        <w:overflowPunct w:val="0"/>
        <w:ind w:firstLineChars="200" w:firstLine="624"/>
        <w:rPr>
          <w:rFonts w:eastAsia="方正仿宋_GBK"/>
          <w:kern w:val="0"/>
          <w:sz w:val="32"/>
          <w:szCs w:val="32"/>
        </w:rPr>
      </w:pPr>
      <w:r>
        <w:rPr>
          <w:rFonts w:eastAsia="方正仿宋_GBK"/>
          <w:kern w:val="0"/>
          <w:sz w:val="32"/>
          <w:szCs w:val="32"/>
        </w:rPr>
        <w:t>2026年9月2日，联合国粮农组织</w:t>
      </w:r>
      <w:r>
        <w:rPr>
          <w:rFonts w:eastAsia="方正仿宋_GBK" w:hint="eastAsia"/>
          <w:kern w:val="0"/>
          <w:sz w:val="32"/>
          <w:szCs w:val="32"/>
        </w:rPr>
        <w:t>（FAO）</w:t>
      </w:r>
      <w:r>
        <w:rPr>
          <w:rFonts w:eastAsia="方正仿宋_GBK"/>
          <w:kern w:val="0"/>
          <w:sz w:val="32"/>
          <w:szCs w:val="32"/>
        </w:rPr>
        <w:t>发布食品中兽药残留风险评估新工具、新方法，这是一个互动式在线资源，说明了评估食品中兽药残留安全性的科学流程，旨在提高相关评估的技术水平、科学准确性、清晰度、一致性、可用性。兽药的使用可能会在肉、奶、蛋和蜂蜜等动物源食品中留下残留物，开展科学的风险评估有助于确定不会对消费者造成健康风险的残留水平，同时支持国际公认标准的制定。风险评估的主要目的是通过对现有科学证据的深入分析，评估兽药残留物的潜在健康影响，并估算膳食暴露量。其中一个关键要求是制定食品中兽药的最大残留限量（MRLs）。制定这些限量主要有两个目的：保护人类健康，使其免受动物源性食品及产品中兽药残留潜在风险的影响；通过制定国际公认的兽药残留限量，促进动物源性食品的国际贸易。</w:t>
      </w:r>
    </w:p>
    <w:p>
      <w:pPr>
        <w:overflowPunct w:val="0"/>
        <w:ind w:firstLineChars="200" w:firstLine="624"/>
        <w:rPr>
          <w:rFonts w:eastAsia="方正仿宋_GBK"/>
          <w:kern w:val="0"/>
          <w:sz w:val="32"/>
          <w:szCs w:val="32"/>
        </w:rPr>
      </w:pPr>
      <w:r>
        <w:rPr>
          <w:rFonts w:eastAsia="方正仿宋_GBK" w:hint="eastAsia"/>
          <w:kern w:val="0"/>
          <w:sz w:val="32"/>
          <w:szCs w:val="32"/>
        </w:rPr>
        <w:t> </w:t>
      </w:r>
      <w:r>
        <w:rPr>
          <w:rFonts w:eastAsia="方正仿宋_GBK"/>
          <w:kern w:val="0"/>
          <w:sz w:val="32"/>
          <w:szCs w:val="32"/>
        </w:rPr>
        <w:t>https://www.fao.org/food-safety/news/detail/fao-releases-updated-jecfa-toolbox-for-veterinary-drug-residues-risk-assessment/en</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7" w:name="_Toc239868477"/>
      <w:r>
        <w:rPr>
          <w:rFonts w:ascii="方正楷体_GBK" w:eastAsia="方正楷体_GBK" w:cs="宋体" w:hint="eastAsia"/>
          <w:bCs w:val="0"/>
          <w:kern w:val="0"/>
          <w:sz w:val="32"/>
          <w:szCs w:val="32"/>
        </w:rPr>
        <w:t>联合国粮农组织发布食品安全与人工智能研究报告。</w:t>
      </w:r>
      <w:bookmarkEnd w:id="110"/>
      <w:bookmarkEnd w:id="157"/>
    </w:p>
    <w:p>
      <w:pPr>
        <w:overflowPunct w:val="0"/>
        <w:ind w:firstLineChars="200" w:firstLine="624"/>
        <w:rPr>
          <w:rFonts w:eastAsia="方正仿宋_GBK"/>
          <w:kern w:val="0"/>
          <w:sz w:val="32"/>
          <w:szCs w:val="32"/>
        </w:rPr>
      </w:pPr>
      <w:r>
        <w:rPr>
          <w:rFonts w:eastAsia="方正仿宋_GBK"/>
          <w:kern w:val="0"/>
          <w:sz w:val="32"/>
          <w:szCs w:val="32"/>
        </w:rPr>
        <w:t>2026</w:t>
      </w:r>
      <w:r>
        <w:rPr>
          <w:rFonts w:eastAsia="方正仿宋_GBK" w:hint="eastAsia"/>
          <w:kern w:val="0"/>
          <w:sz w:val="32"/>
          <w:szCs w:val="32"/>
        </w:rPr>
        <w:t>年</w:t>
      </w:r>
      <w:r>
        <w:rPr>
          <w:rFonts w:eastAsia="方正仿宋_GBK"/>
          <w:kern w:val="0"/>
          <w:sz w:val="32"/>
          <w:szCs w:val="32"/>
        </w:rPr>
        <w:t>8</w:t>
      </w:r>
      <w:r>
        <w:rPr>
          <w:rFonts w:eastAsia="方正仿宋_GBK" w:hint="eastAsia"/>
          <w:kern w:val="0"/>
          <w:sz w:val="32"/>
          <w:szCs w:val="32"/>
        </w:rPr>
        <w:t>月</w:t>
      </w:r>
      <w:r>
        <w:rPr>
          <w:rFonts w:eastAsia="方正仿宋_GBK"/>
          <w:kern w:val="0"/>
          <w:sz w:val="32"/>
          <w:szCs w:val="32"/>
        </w:rPr>
        <w:t>17</w:t>
      </w:r>
      <w:r>
        <w:rPr>
          <w:rFonts w:eastAsia="方正仿宋_GBK" w:hint="eastAsia"/>
          <w:kern w:val="0"/>
          <w:sz w:val="32"/>
          <w:szCs w:val="32"/>
        </w:rPr>
        <w:t>日，联合国粮农组织（FAO）发布《食品安全与人工智能研究报告》。《报告》认为，人工智能正被广泛应用于食品安全中，包括微生物和化学危害检测、食品假冒伪劣与真实性鉴定、食源性疾病监测、实验室分析、风险预测和监管。人工智能可以在食品安全等诸多领域发挥作用，涵盖实验室分析和食品欺诈检测到疫情监测和风险预测，涉及高质量数据获取、工作透明度、跨学科合作。《报告》还探讨了影响人工智能在食品安全领域成功应用的科学与实践考量因素，包括数据的可靠性与质量、标准化的元数据、数据管理、人工智能相关信息的透明度、问责和公众信任等。《报告》强调，人工智能应与可靠的科学证据、适当的管理机制相结合，以支持可信的决策。应加强研究人员与食品安全专业人士之间的合作、交流，以加强对人工智能技术的理解应用、评估人工智能的潜力与局限性、跨学科分享工作经验。FAO计划于</w:t>
      </w:r>
      <w:r>
        <w:rPr>
          <w:rFonts w:eastAsia="方正仿宋_GBK"/>
          <w:kern w:val="0"/>
          <w:sz w:val="32"/>
          <w:szCs w:val="32"/>
        </w:rPr>
        <w:t>2027</w:t>
      </w:r>
      <w:r>
        <w:rPr>
          <w:rFonts w:eastAsia="方正仿宋_GBK" w:hint="eastAsia"/>
          <w:kern w:val="0"/>
          <w:sz w:val="32"/>
          <w:szCs w:val="32"/>
        </w:rPr>
        <w:t>年举办首届食品安全人工智能会议。人工智能可以成为食品安全领域的强大工具，但其价值将取决于如何负责任且有效地将其整合到科学和监管决策中。</w:t>
      </w:r>
    </w:p>
    <w:p>
      <w:pPr>
        <w:overflowPunct w:val="0"/>
        <w:ind w:firstLineChars="200" w:firstLine="624"/>
        <w:rPr>
          <w:rFonts w:eastAsia="方正仿宋_GBK"/>
          <w:kern w:val="0"/>
          <w:sz w:val="32"/>
          <w:szCs w:val="32"/>
        </w:rPr>
      </w:pPr>
      <w:r>
        <w:rPr>
          <w:rFonts w:eastAsia="方正仿宋_GBK"/>
          <w:kern w:val="0"/>
          <w:sz w:val="32"/>
          <w:szCs w:val="32"/>
        </w:rPr>
        <w:t>https://www.fao.org/food-safety/news/detail/article-in-nature--artificial-intelligence-（ai）-for-food-safety/en</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8" w:name="_Toc239757889"/>
      <w:bookmarkStart w:id="159" w:name="_Toc239807832"/>
      <w:bookmarkStart w:id="160" w:name="_Toc239868478"/>
      <w:bookmarkStart w:id="161" w:name="_Toc239327058"/>
      <w:bookmarkStart w:id="162" w:name="_Toc238774560"/>
      <w:r>
        <w:rPr>
          <w:rFonts w:ascii="方正楷体_GBK" w:eastAsia="方正楷体_GBK" w:cs="宋体" w:hint="eastAsia"/>
          <w:bCs w:val="0"/>
          <w:kern w:val="0"/>
          <w:sz w:val="32"/>
          <w:szCs w:val="32"/>
        </w:rPr>
        <w:t>欧盟拟批准将咖啡果提取物作为新型食品。</w:t>
      </w:r>
      <w:bookmarkEnd w:id="158"/>
      <w:bookmarkEnd w:id="159"/>
      <w:bookmarkEnd w:id="160"/>
    </w:p>
    <w:p>
      <w:pPr>
        <w:overflowPunct w:val="0"/>
        <w:ind w:firstLineChars="200" w:firstLine="624"/>
        <w:rPr>
          <w:rFonts w:eastAsia="方正仿宋_GBK"/>
          <w:kern w:val="0"/>
          <w:sz w:val="32"/>
          <w:szCs w:val="32"/>
        </w:rPr>
      </w:pPr>
      <w:r>
        <w:rPr>
          <w:rFonts w:eastAsia="方正仿宋_GBK" w:hint="eastAsia"/>
          <w:kern w:val="0"/>
          <w:sz w:val="32"/>
          <w:szCs w:val="32"/>
        </w:rPr>
        <w:t>2026年9月5日，欧洲食品安全局（EFSA）发布第PC-2079号公开咨询文件，拟批准将咖啡果提取物（Coffee fruit extract）作为新型食品。主要内容如下：（1）该新型食品适用于普通人群和青少年（10-17岁），作为食品膳食补充剂；（2）最大使用量为300</w:t>
      </w:r>
      <w:r>
        <w:rPr>
          <w:rFonts w:eastAsia="方正仿宋_GBK"/>
          <w:kern w:val="0"/>
          <w:sz w:val="32"/>
          <w:szCs w:val="32"/>
        </w:rPr>
        <w:t> </w:t>
      </w:r>
      <w:r>
        <w:rPr>
          <w:rFonts w:eastAsia="方正仿宋_GBK" w:hint="eastAsia"/>
          <w:kern w:val="0"/>
          <w:sz w:val="32"/>
          <w:szCs w:val="32"/>
        </w:rPr>
        <w:t>mg/天；（3）公开咨询截止日期为2026年9月28日。</w:t>
      </w:r>
    </w:p>
    <w:p>
      <w:pPr>
        <w:overflowPunct w:val="0"/>
        <w:ind w:firstLineChars="200" w:firstLine="624"/>
        <w:rPr>
          <w:rFonts w:eastAsia="方正仿宋_GBK"/>
          <w:kern w:val="0"/>
          <w:sz w:val="32"/>
          <w:szCs w:val="32"/>
        </w:rPr>
      </w:pPr>
      <w:r>
        <w:rPr>
          <w:rFonts w:eastAsia="方正仿宋_GBK"/>
          <w:kern w:val="0"/>
          <w:sz w:val="32"/>
          <w:szCs w:val="32"/>
        </w:rPr>
        <w:t>https://connect.efsa.europa.eu/RM/s/consultations/publicconsultation2/a0lTk00000ARIfp/pc2079</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3" w:name="_Toc239807833"/>
      <w:bookmarkStart w:id="164" w:name="_Toc239868479"/>
      <w:r>
        <w:rPr>
          <w:rFonts w:ascii="方正楷体_GBK" w:eastAsia="方正楷体_GBK" w:cs="宋体" w:hint="eastAsia"/>
          <w:bCs w:val="0"/>
          <w:kern w:val="0"/>
          <w:sz w:val="32"/>
          <w:szCs w:val="32"/>
        </w:rPr>
        <w:t>欧盟拟修订部分食品中二氟乙酸的最大残留限量。</w:t>
      </w:r>
      <w:bookmarkEnd w:id="161"/>
      <w:bookmarkEnd w:id="163"/>
      <w:bookmarkEnd w:id="164"/>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2026年9月2日，欧洲食品安全局（EFSA）发布2026.10302号文件，拟修订部分食品中二氟乙酸（Difluoroacetic acid）的最大残留限量，具体内容如下表所示（表格中“*”表示MRL的设定在或接近分析定量的极限）。该修订将在欧盟官方公报发布后正式生效。</w:t>
      </w:r>
    </w:p>
    <w:tbl>
      <w:tblPr>
        <w:jc w:val="center"/>
        <w:tblW w:w="8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475"/>
        <w:gridCol w:w="2126"/>
        <w:gridCol w:w="2126"/>
        <w:gridCol w:w="2076"/>
      </w:tblGrid>
      <w:tr>
        <w:trPr>
          <w:trHeight w:val="151"/>
          <w:tblHeader/>
        </w:trPr>
        <w:tc>
          <w:tcPr>
            <w:tcW w:w="2475"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项目</w:t>
            </w:r>
            <w:r>
              <w:rPr>
                <w:rFonts w:eastAsia="方正仿宋_GBK"/>
                <w:b/>
                <w:bCs/>
                <w:sz w:val="24"/>
              </w:rPr>
              <w:t>名称</w:t>
            </w:r>
          </w:p>
        </w:tc>
        <w:tc>
          <w:tcPr>
            <w:tcW w:w="212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食品名称</w:t>
            </w:r>
          </w:p>
        </w:tc>
        <w:tc>
          <w:tcPr>
            <w:tcW w:w="212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原最大残留限量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c>
          <w:tcPr>
            <w:tcW w:w="207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拟修订后最大残留限量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r>
      <w:tr>
        <w:trPr>
          <w:trHeight w:val="151"/>
          <w:tblHeader/>
        </w:trPr>
        <w:tc>
          <w:tcPr>
            <w:tcW w:w="2475"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二氟乙酸</w:t>
            </w:r>
            <w:r>
              <w:rPr>
                <w:rFonts w:eastAsia="方正仿宋_GBK" w:hint="eastAsia"/>
                <w:sz w:val="24"/>
              </w:rPr>
              <w:t>（</w:t>
            </w:r>
            <w:r>
              <w:rPr>
                <w:rFonts w:eastAsia="方正仿宋_GBK"/>
                <w:sz w:val="24"/>
              </w:rPr>
              <w:t>Difluoroacetic acid</w:t>
            </w:r>
            <w:r>
              <w:rPr>
                <w:rFonts w:eastAsia="方正仿宋_GBK" w:hint="eastAsia"/>
                <w:sz w:val="24"/>
              </w:rPr>
              <w:t>）</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黑莓</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0.07</w:t>
            </w:r>
          </w:p>
        </w:tc>
        <w:tc>
          <w:tcPr>
            <w:tcW w:w="207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0.15</w:t>
            </w:r>
          </w:p>
        </w:tc>
      </w:tr>
      <w:tr>
        <w:trPr>
          <w:trHeight w:val="151"/>
          <w:tblHeader/>
        </w:trPr>
        <w:tc>
          <w:tcPr>
            <w:tcW w:w="2475" w:type="dxa"/>
            <w:vMerge/>
            <w:tcBorders>
              <w:left w:val="single" w:sz="4" w:space="0" w:color="auto"/>
              <w:right w:val="single" w:sz="4" w:space="0" w:color="auto"/>
            </w:tcBorders>
            <w:vAlign w:val="center"/>
          </w:tcP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露莓</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0.07</w:t>
            </w:r>
          </w:p>
        </w:tc>
        <w:tc>
          <w:tcPr>
            <w:tcW w:w="207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0.15</w:t>
            </w:r>
          </w:p>
        </w:tc>
      </w:tr>
      <w:tr>
        <w:trPr>
          <w:trHeight w:val="151"/>
          <w:tblHeader/>
        </w:trPr>
        <w:tc>
          <w:tcPr>
            <w:tcW w:w="2475" w:type="dxa"/>
            <w:vMerge/>
            <w:tcBorders>
              <w:left w:val="single" w:sz="4" w:space="0" w:color="auto"/>
              <w:right w:val="single" w:sz="4" w:space="0" w:color="auto"/>
            </w:tcBorders>
            <w:vAlign w:val="center"/>
          </w:tcP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覆盆子</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0.07</w:t>
            </w:r>
          </w:p>
        </w:tc>
        <w:tc>
          <w:tcPr>
            <w:tcW w:w="207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0.15</w:t>
            </w:r>
          </w:p>
        </w:tc>
      </w:tr>
      <w:tr>
        <w:trPr>
          <w:trHeight w:val="151"/>
          <w:tblHeader/>
        </w:trPr>
        <w:tc>
          <w:tcPr>
            <w:tcW w:w="2475" w:type="dxa"/>
            <w:vMerge/>
            <w:tcBorders>
              <w:left w:val="single" w:sz="4" w:space="0" w:color="auto"/>
              <w:right w:val="single" w:sz="4" w:space="0" w:color="auto"/>
            </w:tcBorders>
            <w:vAlign w:val="center"/>
          </w:tcP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菠萝</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0.02*</w:t>
            </w:r>
          </w:p>
        </w:tc>
        <w:tc>
          <w:tcPr>
            <w:tcW w:w="207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r>
      <w:tr>
        <w:trPr>
          <w:trHeight w:val="151"/>
          <w:tblHeader/>
        </w:trPr>
        <w:tc>
          <w:tcPr>
            <w:tcW w:w="2475" w:type="dxa"/>
            <w:vMerge/>
            <w:tcBorders>
              <w:left w:val="single" w:sz="4" w:space="0" w:color="auto"/>
              <w:bottom w:val="single" w:sz="4" w:space="0" w:color="auto"/>
              <w:right w:val="single" w:sz="4" w:space="0" w:color="auto"/>
            </w:tcBorders>
            <w:vAlign w:val="center"/>
          </w:tcP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啤酒花</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0.3</w:t>
            </w:r>
          </w:p>
        </w:tc>
        <w:tc>
          <w:tcPr>
            <w:tcW w:w="207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2</w:t>
            </w:r>
          </w:p>
        </w:tc>
      </w:tr>
    </w:tbl>
    <w:p>
      <w:pPr>
        <w:overflowPunct w:val="0"/>
        <w:ind w:firstLineChars="200" w:firstLine="624"/>
        <w:rPr>
          <w:rFonts w:eastAsia="方正仿宋_GBK"/>
          <w:kern w:val="0"/>
          <w:sz w:val="32"/>
          <w:szCs w:val="32"/>
        </w:rPr>
      </w:pPr>
      <w:r>
        <w:rPr>
          <w:rFonts w:eastAsia="方正仿宋_GBK"/>
          <w:kern w:val="0"/>
          <w:sz w:val="32"/>
          <w:szCs w:val="32"/>
        </w:rPr>
        <w:t>https://efsa.onlinelibrary.wiley.com/doi/10.2903/j.efsa.2026.10302</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5" w:name="_Toc239327060"/>
      <w:bookmarkStart w:id="166" w:name="_Toc239807834"/>
      <w:bookmarkStart w:id="167" w:name="_Toc239868480"/>
      <w:r>
        <w:rPr>
          <w:rFonts w:ascii="方正楷体_GBK" w:eastAsia="方正楷体_GBK" w:cs="宋体" w:hint="eastAsia"/>
          <w:bCs w:val="0"/>
          <w:kern w:val="0"/>
          <w:sz w:val="32"/>
          <w:szCs w:val="32"/>
        </w:rPr>
        <w:t>欧盟拟批准S-乙酰谷胱甘肽作为新型食品。</w:t>
      </w:r>
      <w:bookmarkEnd w:id="165"/>
      <w:bookmarkEnd w:id="166"/>
      <w:bookmarkEnd w:id="167"/>
    </w:p>
    <w:p>
      <w:pPr>
        <w:overflowPunct w:val="0"/>
        <w:ind w:firstLineChars="200" w:firstLine="624"/>
        <w:rPr>
          <w:rFonts w:eastAsia="方正仿宋_GBK"/>
          <w:kern w:val="0"/>
          <w:sz w:val="32"/>
          <w:szCs w:val="32"/>
        </w:rPr>
      </w:pPr>
      <w:r>
        <w:rPr>
          <w:rFonts w:eastAsia="方正仿宋_GBK"/>
          <w:kern w:val="0"/>
          <w:sz w:val="32"/>
          <w:szCs w:val="32"/>
        </w:rPr>
        <w:t>202</w:t>
      </w:r>
      <w:r>
        <w:rPr>
          <w:rFonts w:eastAsia="方正仿宋_GBK" w:hint="eastAsia"/>
          <w:kern w:val="0"/>
          <w:sz w:val="32"/>
          <w:szCs w:val="32"/>
        </w:rPr>
        <w:t>6年9月1日，欧洲食品安全局（EFSA）发布2026.10258号文件，拟批准S-乙酰谷胱甘肽作为新型食品，拟用于</w:t>
      </w:r>
      <w:r>
        <w:rPr>
          <w:rFonts w:eastAsia="方正仿宋_GBK"/>
          <w:kern w:val="0"/>
          <w:sz w:val="32"/>
          <w:szCs w:val="32"/>
        </w:rPr>
        <w:t>膳食补充剂和特殊医学用途食品，每日最大食用量为300</w:t>
      </w:r>
      <w:r>
        <w:rPr>
          <w:rFonts w:eastAsia="方正仿宋_GBK" w:hint="eastAsia"/>
          <w:kern w:val="0"/>
          <w:sz w:val="32"/>
          <w:szCs w:val="32"/>
        </w:rPr>
        <w:t>mg</w:t>
      </w:r>
      <w:r>
        <w:rPr>
          <w:rFonts w:eastAsia="方正仿宋_GBK"/>
          <w:kern w:val="0"/>
          <w:sz w:val="32"/>
          <w:szCs w:val="32"/>
        </w:rPr>
        <w:t>，目标人群为一般人群，但不包括10岁以下儿童以及孕妇或哺乳期妇女。该规定</w:t>
      </w:r>
      <w:r>
        <w:rPr>
          <w:rFonts w:eastAsia="方正仿宋_GBK" w:hint="eastAsia"/>
          <w:kern w:val="0"/>
          <w:sz w:val="32"/>
          <w:szCs w:val="32"/>
        </w:rPr>
        <w:t>将在欧盟官方公报发布后正式生效。</w:t>
      </w:r>
    </w:p>
    <w:p>
      <w:pPr>
        <w:overflowPunct w:val="0"/>
        <w:ind w:firstLineChars="200" w:firstLine="624"/>
        <w:rPr>
          <w:rFonts w:eastAsia="方正仿宋_GBK"/>
          <w:kern w:val="0"/>
          <w:sz w:val="32"/>
          <w:szCs w:val="32"/>
        </w:rPr>
      </w:pPr>
      <w:r>
        <w:rPr>
          <w:rFonts w:eastAsia="方正仿宋_GBK"/>
          <w:kern w:val="0"/>
          <w:sz w:val="32"/>
          <w:szCs w:val="32"/>
        </w:rPr>
        <w:t>https://efsa.onlinelibrary.wiley.com/doi/10.2903/j.efsa.2026.10258</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8" w:name="_Toc239868481"/>
      <w:r>
        <w:rPr>
          <w:rFonts w:ascii="方正楷体_GBK" w:eastAsia="方正楷体_GBK" w:cs="宋体" w:hint="eastAsia"/>
          <w:bCs w:val="0"/>
          <w:kern w:val="0"/>
          <w:sz w:val="32"/>
          <w:szCs w:val="32"/>
        </w:rPr>
        <w:t>欧盟拟修订部分食品中磷酸钾的最大残留限量。</w:t>
      </w:r>
      <w:bookmarkEnd w:id="162"/>
      <w:bookmarkEnd w:id="168"/>
    </w:p>
    <w:p>
      <w:pPr>
        <w:overflowPunct w:val="0"/>
        <w:ind w:firstLineChars="200" w:firstLine="624"/>
        <w:rPr>
          <w:rFonts w:eastAsia="方正仿宋_GBK"/>
          <w:kern w:val="0"/>
          <w:sz w:val="32"/>
          <w:szCs w:val="32"/>
        </w:rPr>
      </w:pPr>
      <w:r>
        <w:rPr>
          <w:rFonts w:eastAsia="方正仿宋_GBK" w:hint="eastAsia"/>
          <w:kern w:val="0"/>
          <w:sz w:val="32"/>
          <w:szCs w:val="32"/>
        </w:rPr>
        <w:t> 2026年8月26日，欧洲食品安全局（EFSA）发布2026.</w:t>
      </w:r>
      <w:r>
        <w:rPr>
          <w:rFonts w:eastAsia="方正仿宋_GBK"/>
          <w:kern w:val="0"/>
          <w:sz w:val="32"/>
          <w:szCs w:val="32"/>
        </w:rPr>
        <w:t xml:space="preserve"> 10287</w:t>
      </w:r>
      <w:r>
        <w:rPr>
          <w:rFonts w:eastAsia="方正仿宋_GBK" w:hint="eastAsia"/>
          <w:kern w:val="0"/>
          <w:sz w:val="32"/>
          <w:szCs w:val="32"/>
        </w:rPr>
        <w:t>、10290号文件，拟修订部分食品中磷酸钾（potassium phosphonates）等物质的最大残留限量，具体内容如下表所示（表格中“*”表示MRL的设定在或接近分析定量的极限） 。该修订将在欧盟官方公报发布后正式生效。</w:t>
      </w:r>
    </w:p>
    <w:tbl>
      <w:tblPr>
        <w:jc w:val="cente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270"/>
        <w:gridCol w:w="2350"/>
        <w:gridCol w:w="2044"/>
        <w:gridCol w:w="2012"/>
      </w:tblGrid>
      <w:tr>
        <w:trPr>
          <w:trHeight w:val="151"/>
          <w:tblHeader/>
        </w:trPr>
        <w:tc>
          <w:tcPr>
            <w:tcW w:w="2270"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项目名称</w:t>
            </w:r>
          </w:p>
        </w:tc>
        <w:tc>
          <w:tcPr>
            <w:tcW w:w="2350"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食品名称</w:t>
            </w:r>
          </w:p>
        </w:tc>
        <w:tc>
          <w:tcPr>
            <w:tcW w:w="2044"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原最大残留限量（mg/kg）</w:t>
            </w:r>
          </w:p>
        </w:tc>
        <w:tc>
          <w:tcPr>
            <w:tcW w:w="201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拟修订后最大残留限量（mg/kg）</w:t>
            </w:r>
          </w:p>
        </w:tc>
      </w:tr>
      <w:tr>
        <w:trPr>
          <w:trHeight w:val="151"/>
          <w:tblHeader/>
        </w:trPr>
        <w:tc>
          <w:tcPr>
            <w:tcW w:w="227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磷酸钾（potassium phosphonates）</w:t>
            </w:r>
          </w:p>
        </w:tc>
        <w:tc>
          <w:tcPr>
            <w:tcW w:w="235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萝卜</w:t>
            </w:r>
          </w:p>
        </w:tc>
        <w:tc>
          <w:tcPr>
            <w:tcW w:w="204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40</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90</w:t>
            </w:r>
          </w:p>
        </w:tc>
      </w:tr>
      <w:tr>
        <w:trPr>
          <w:trHeight w:val="151"/>
          <w:tblHeader/>
        </w:trPr>
        <w:tc>
          <w:tcPr>
            <w:tcW w:w="2270" w:type="dxa"/>
            <w:vMerge/>
            <w:tcBorders>
              <w:left w:val="single" w:sz="4" w:space="0" w:color="auto"/>
              <w:right w:val="single" w:sz="4" w:space="0" w:color="auto"/>
            </w:tcBorders>
            <w:vAlign w:val="center"/>
          </w:tcPr>
          <w:p/>
        </w:tc>
        <w:tc>
          <w:tcPr>
            <w:tcW w:w="235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豆类（无荚）、豌豆</w:t>
            </w:r>
          </w:p>
        </w:tc>
        <w:tc>
          <w:tcPr>
            <w:tcW w:w="204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1.5*</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90</w:t>
            </w:r>
          </w:p>
        </w:tc>
      </w:tr>
      <w:tr>
        <w:trPr>
          <w:trHeight w:val="151"/>
          <w:tblHeader/>
        </w:trPr>
        <w:tc>
          <w:tcPr>
            <w:tcW w:w="2270" w:type="dxa"/>
            <w:vMerge/>
            <w:tcBorders>
              <w:left w:val="single" w:sz="4" w:space="0" w:color="auto"/>
              <w:right w:val="single" w:sz="4" w:space="0" w:color="auto"/>
            </w:tcBorders>
            <w:vAlign w:val="center"/>
          </w:tcPr>
          <w:p/>
        </w:tc>
        <w:tc>
          <w:tcPr>
            <w:tcW w:w="235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甜菜根</w:t>
            </w:r>
          </w:p>
        </w:tc>
        <w:tc>
          <w:tcPr>
            <w:tcW w:w="204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1.5*</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60</w:t>
            </w:r>
          </w:p>
        </w:tc>
      </w:tr>
      <w:tr>
        <w:trPr>
          <w:trHeight w:val="151"/>
          <w:tblHeader/>
        </w:trPr>
        <w:tc>
          <w:tcPr>
            <w:tcW w:w="227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氟吡呋喃酮（flupyradifurone）</w:t>
            </w:r>
          </w:p>
        </w:tc>
        <w:tc>
          <w:tcPr>
            <w:tcW w:w="235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杏仁、榛子、核桃</w:t>
            </w:r>
          </w:p>
        </w:tc>
        <w:tc>
          <w:tcPr>
            <w:tcW w:w="204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0.02</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0.15</w:t>
            </w:r>
          </w:p>
        </w:tc>
      </w:tr>
      <w:tr>
        <w:trPr>
          <w:trHeight w:val="151"/>
          <w:tblHeader/>
        </w:trPr>
        <w:tc>
          <w:tcPr>
            <w:tcW w:w="2270" w:type="dxa"/>
            <w:vMerge/>
            <w:tcBorders>
              <w:left w:val="single" w:sz="4" w:space="0" w:color="auto"/>
              <w:bottom w:val="single" w:sz="4" w:space="0" w:color="auto"/>
              <w:right w:val="single" w:sz="4" w:space="0" w:color="auto"/>
            </w:tcBorders>
            <w:vAlign w:val="center"/>
          </w:tcPr>
          <w:p/>
        </w:tc>
        <w:tc>
          <w:tcPr>
            <w:tcW w:w="235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开心果</w:t>
            </w:r>
          </w:p>
        </w:tc>
        <w:tc>
          <w:tcPr>
            <w:tcW w:w="204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0.02</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0.2</w:t>
            </w:r>
          </w:p>
        </w:tc>
      </w:tr>
      <w:tr>
        <w:trPr>
          <w:trHeight w:val="151"/>
          <w:tblHeader/>
        </w:trPr>
        <w:tc>
          <w:tcPr>
            <w:tcW w:w="227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二氟乙酸（Difluoroacetic acid）</w:t>
            </w:r>
          </w:p>
        </w:tc>
        <w:tc>
          <w:tcPr>
            <w:tcW w:w="235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杏仁、榛子、核桃</w:t>
            </w:r>
          </w:p>
        </w:tc>
        <w:tc>
          <w:tcPr>
            <w:tcW w:w="204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0.04</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0.15</w:t>
            </w:r>
          </w:p>
        </w:tc>
      </w:tr>
      <w:tr>
        <w:trPr>
          <w:trHeight w:val="151"/>
          <w:tblHeader/>
        </w:trPr>
        <w:tc>
          <w:tcPr>
            <w:tcW w:w="2270" w:type="dxa"/>
            <w:vMerge/>
            <w:tcBorders>
              <w:left w:val="single" w:sz="4" w:space="0" w:color="auto"/>
              <w:bottom w:val="single" w:sz="4" w:space="0" w:color="auto"/>
              <w:right w:val="single" w:sz="4" w:space="0" w:color="auto"/>
            </w:tcBorders>
            <w:vAlign w:val="center"/>
          </w:tcPr>
          <w:p/>
        </w:tc>
        <w:tc>
          <w:tcPr>
            <w:tcW w:w="235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开心果</w:t>
            </w:r>
          </w:p>
        </w:tc>
        <w:tc>
          <w:tcPr>
            <w:tcW w:w="204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0.04</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r>
    </w:tbl>
    <w:p>
      <w:pPr>
        <w:overflowPunct w:val="0"/>
        <w:ind w:firstLineChars="200" w:firstLine="624"/>
        <w:rPr>
          <w:rFonts w:eastAsia="方正仿宋_GBK"/>
          <w:kern w:val="0"/>
          <w:sz w:val="32"/>
          <w:szCs w:val="32"/>
        </w:rPr>
      </w:pPr>
      <w:r>
        <w:rPr>
          <w:rFonts w:eastAsia="方正仿宋_GBK"/>
          <w:kern w:val="0"/>
          <w:sz w:val="32"/>
          <w:szCs w:val="32"/>
        </w:rPr>
        <w:t>https://efsa.onlinelibrary.wiley.com/doi/10.2903/j.efsa.2026.10287</w:t>
      </w:r>
      <w:r>
        <w:rPr>
          <w:rFonts w:eastAsia="方正仿宋_GBK" w:hint="eastAsia"/>
          <w:kern w:val="0"/>
          <w:sz w:val="32"/>
          <w:szCs w:val="32"/>
        </w:rPr>
        <w:t xml:space="preserve"> ；</w:t>
      </w:r>
    </w:p>
    <w:p>
      <w:pPr>
        <w:overflowPunct w:val="0"/>
        <w:ind w:firstLineChars="200" w:firstLine="624"/>
        <w:rPr>
          <w:rFonts w:eastAsia="方正仿宋_GBK"/>
          <w:kern w:val="0"/>
          <w:sz w:val="32"/>
          <w:szCs w:val="32"/>
        </w:rPr>
      </w:pPr>
      <w:r>
        <w:rPr>
          <w:rFonts w:eastAsia="方正仿宋_GBK"/>
          <w:kern w:val="0"/>
          <w:sz w:val="32"/>
          <w:szCs w:val="32"/>
        </w:rPr>
        <w:t>https://efsa.onlinelibrary.wiley.com/doi/10.2903/j.efsa.2026.10290</w:t>
      </w:r>
      <w:r>
        <w:rPr>
          <w:rFonts w:eastAsia="方正仿宋_GBK" w:hint="eastAsia"/>
          <w:kern w:val="0"/>
          <w:sz w:val="32"/>
          <w:szCs w:val="32"/>
        </w:rPr>
        <w:t xml:space="preserve"> </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9" w:name="_Toc238774561"/>
      <w:bookmarkStart w:id="170" w:name="_Toc239868482"/>
      <w:r>
        <w:rPr>
          <w:rFonts w:ascii="方正楷体_GBK" w:eastAsia="方正楷体_GBK" w:cs="宋体" w:hint="eastAsia"/>
          <w:bCs w:val="0"/>
          <w:kern w:val="0"/>
          <w:sz w:val="32"/>
          <w:szCs w:val="32"/>
        </w:rPr>
        <w:t>欧盟修订部分乳制品及水产品准入要求。</w:t>
      </w:r>
      <w:bookmarkEnd w:id="169"/>
      <w:bookmarkEnd w:id="170"/>
    </w:p>
    <w:p>
      <w:pPr>
        <w:overflowPunct w:val="0"/>
        <w:ind w:firstLineChars="200" w:firstLine="624"/>
        <w:rPr>
          <w:rFonts w:eastAsia="方正仿宋_GBK"/>
          <w:kern w:val="0"/>
          <w:sz w:val="32"/>
          <w:szCs w:val="32"/>
        </w:rPr>
      </w:pPr>
      <w:r>
        <w:rPr>
          <w:rFonts w:eastAsia="方正仿宋_GBK" w:hint="eastAsia"/>
          <w:kern w:val="0"/>
          <w:sz w:val="32"/>
          <w:szCs w:val="32"/>
        </w:rPr>
        <w:t>欧盟官方公报2026年8月24日消息，欧盟委员会发布授权条例（EU）2026/1304，修订授权条例（EU）2022/2292，涉及某些乳制品、水产品以及双壳类软体动物、棘皮动物、被囊动物和海洋腹足动物的准入要求。主要内容为：（1）授权条例（EU）2022/2292修订如下：a）在第3条中，b点ii替换为以下内容：HS税号0901、1301、1702、1806、1901、2103、2105、2106、2301、3001、3002、3203、3204、3302、3501、3502、3503、3504、3507、3823、3824、3913、3926、4101、4102、4103或9602，以及CN编码220299和39171010；b）第5条第1款中，b点替换为以下内容：动物源性产品，其CN编码已规定在第2658/87号条例（欧共体）附件一第二部分第2至5章、第15章和第16章中，且其“HS子目”已规定在HS税号0901、1901、2103、2105、3501、3502和3504下；c）第5条第2款增加野生捕捞的水产品、昆虫、蛙、蛙腿、蜗牛、爬行动物和爬行动物肉；（2）水产品特殊要求：在第2658/87号条例附件一第二部分税号0301、0302、0303、0304、0305、0306、0307、0308、0309、1504、1516、1517、1603、1604、1605、2103或2106下规定有CN编码的水产品，只有在生产的任何阶段在陆上场所、工厂或冷冻船中获得、制备，或储存在冷库或冷藏船中，且该场所、工厂、冷冻船、冷库或冷藏船出现在根据第2017/625号条例（欧盟）第127条第（3）款（e）项制定和更新并由委员会公布的名单上时，才允许进入欧盟投放市场；（3）该条例应在欧盟官方公报公布后第20天生效。具有全面约束力，并直接适用于所有成员国。</w:t>
      </w:r>
    </w:p>
    <w:p>
      <w:pPr>
        <w:overflowPunct w:val="0"/>
        <w:ind w:firstLineChars="200" w:firstLine="624"/>
        <w:rPr>
          <w:rFonts w:eastAsia="方正仿宋_GBK"/>
          <w:kern w:val="0"/>
          <w:sz w:val="32"/>
          <w:szCs w:val="32"/>
        </w:rPr>
      </w:pPr>
      <w:r>
        <w:rPr>
          <w:rFonts w:eastAsia="方正仿宋_GBK"/>
          <w:kern w:val="0"/>
          <w:sz w:val="32"/>
          <w:szCs w:val="32"/>
        </w:rPr>
        <w:t>https://eur-lex.europa.eu/TodayOJ/fallbackOJ/ESEAL-L_202601304-sig-20260824023043775_immc/L_202601304EN.pdf</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1" w:name="_Toc239757890"/>
      <w:bookmarkStart w:id="172" w:name="_Toc239807835"/>
      <w:bookmarkStart w:id="173" w:name="_Toc239868483"/>
      <w:bookmarkStart w:id="174" w:name="_Toc238774562"/>
      <w:r>
        <w:rPr>
          <w:rFonts w:ascii="方正楷体_GBK" w:eastAsia="方正楷体_GBK" w:cs="宋体" w:hint="eastAsia"/>
          <w:bCs w:val="0"/>
          <w:kern w:val="0"/>
          <w:sz w:val="32"/>
          <w:szCs w:val="32"/>
        </w:rPr>
        <w:t>英国发布2025-2026年野生捕捞鱼类、甲壳类和头足类化学污染物调查报告。</w:t>
      </w:r>
      <w:bookmarkEnd w:id="171"/>
      <w:bookmarkEnd w:id="172"/>
      <w:bookmarkEnd w:id="173"/>
    </w:p>
    <w:p>
      <w:pPr>
        <w:overflowPunct w:val="0"/>
        <w:ind w:firstLineChars="200" w:firstLine="624"/>
        <w:rPr>
          <w:rFonts w:eastAsia="方正仿宋_GBK"/>
          <w:kern w:val="0"/>
          <w:sz w:val="32"/>
          <w:szCs w:val="32"/>
        </w:rPr>
      </w:pPr>
      <w:r>
        <w:rPr>
          <w:rFonts w:eastAsia="方正仿宋_GBK" w:hint="eastAsia"/>
          <w:kern w:val="0"/>
          <w:sz w:val="32"/>
          <w:szCs w:val="32"/>
        </w:rPr>
        <w:t>2026年9月4日，英国食品标准局（FSA）发布2025-2026年野生捕捞鱼类、甲壳类和头足类化学污染物调查报告，主要内容如下：在2025年至2026年期间，FSA委托Fera Science Ltd在英格兰和威尔士开展了一项针对野生捕捞鱼类、甲壳类和头足类化学污染物的独立调查，旨在评估重金属、多氯联苯等受监管污染物含量，并收集全氟和多氟烷基物质、无机砷等新兴污染物的暴露数据。调查从五个地区鱼市采集104个样本，涵盖鲈鱼、鳕鱼、鲭鱼、螃蟹、龙虾、鱿鱼等物种，分别分析重金属、PFAS（11种）、PCBs（35种）及多环芳烃等污染物，检测方法均获ISO 17025认证。结果显示，仅一个鲈鱼样本汞浓度（0.72mg/kg）超过英国和欧盟0.5mg/kg的限量标准，但风险评估认为长期健康风险较低；其他重金属、无机砷、戴奥辛、PCBs及PFAS浓度均低于各物种的英国或欧盟最高限量，PAHs浓度也处于较低水平。</w:t>
      </w:r>
    </w:p>
    <w:p>
      <w:pPr>
        <w:overflowPunct w:val="0"/>
        <w:ind w:firstLineChars="200" w:firstLine="624"/>
        <w:rPr>
          <w:rFonts w:eastAsia="方正仿宋_GBK"/>
          <w:kern w:val="0"/>
          <w:sz w:val="32"/>
          <w:szCs w:val="32"/>
        </w:rPr>
      </w:pPr>
      <w:r>
        <w:rPr>
          <w:rFonts w:eastAsia="方正仿宋_GBK"/>
          <w:kern w:val="0"/>
          <w:sz w:val="32"/>
          <w:szCs w:val="32"/>
        </w:rPr>
        <w:t>https://science.food.gov.uk/article/166100-survey-of-chemical-contaminants-in-wild-caught-fish-crustaceans-and-cephalopods-england-and-wales-2025-26</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5" w:name="_Toc239757891"/>
      <w:bookmarkStart w:id="176" w:name="_Toc239807836"/>
      <w:bookmarkStart w:id="177" w:name="_Toc239868484"/>
      <w:r>
        <w:rPr>
          <w:rFonts w:ascii="方正楷体_GBK" w:eastAsia="方正楷体_GBK" w:cs="宋体" w:hint="eastAsia"/>
          <w:bCs w:val="0"/>
          <w:kern w:val="0"/>
          <w:sz w:val="32"/>
          <w:szCs w:val="32"/>
        </w:rPr>
        <w:t>匈牙利发布2026年夏季季节性食品安全专项检测报告。</w:t>
      </w:r>
      <w:bookmarkEnd w:id="175"/>
      <w:bookmarkEnd w:id="176"/>
      <w:bookmarkEnd w:id="177"/>
    </w:p>
    <w:p>
      <w:pPr>
        <w:overflowPunct w:val="0"/>
        <w:ind w:firstLineChars="200" w:firstLine="624"/>
        <w:rPr>
          <w:rFonts w:eastAsia="方正仿宋_GBK"/>
          <w:kern w:val="0"/>
          <w:sz w:val="32"/>
          <w:szCs w:val="32"/>
        </w:rPr>
      </w:pPr>
      <w:r>
        <w:rPr>
          <w:rFonts w:eastAsia="方正仿宋_GBK" w:hint="eastAsia"/>
          <w:kern w:val="0"/>
          <w:sz w:val="32"/>
          <w:szCs w:val="32"/>
        </w:rPr>
        <w:t>2026年9月4日，匈牙利国家食品链安全办公室（Nébih）发布2026年夏季季节性食品安全专项检测报告，覆盖肉制品、冰淇淋、果蔬及酒精饮料等领域，并调查食源性疾病事件，主要内容如下：（1）肉类及冰淇淋/糕点：共检查多家生产企业，多数卫生及可追溯性合规，但部分企业存在严重问题。佩斯州一冰淇淋厂发现244kg过期食品；另一家厂发现1695kg过期或不可追溯产品，被勒令停业并召回在售产品。佐洛州一肉制品厂查获2134kg问题食品，也被停业。其他违规企业被处以撤市、封存、罚款等处罚；（2）酒精饮料：检查130个餐饮场所，抽样118批。第一阶段检查总体合规率较高，但发现部分追溯、标识、保质期问题，共撤市210升，第二阶段检测发现4批葡萄酒感官或标识不合格。两阶段共启动16起程序；（3）食源性疾病：调查三起集体发病事件，涉及儿童营地及日间托管，病因包括卫生缺陷、弯曲菌感染等，涉事餐厅被停业整改并罚款。</w:t>
      </w:r>
    </w:p>
    <w:p>
      <w:pPr>
        <w:overflowPunct w:val="0"/>
        <w:ind w:firstLineChars="200" w:firstLine="624"/>
        <w:rPr>
          <w:rFonts w:eastAsia="方正仿宋_GBK"/>
          <w:kern w:val="0"/>
          <w:sz w:val="32"/>
          <w:szCs w:val="32"/>
        </w:rPr>
      </w:pPr>
      <w:r>
        <w:rPr>
          <w:rFonts w:eastAsia="方正仿宋_GBK"/>
          <w:kern w:val="0"/>
          <w:sz w:val="32"/>
          <w:szCs w:val="32"/>
        </w:rPr>
        <w:t>https://portal.nebih.gov.hu/-/a-nebih-szezonalis-ellenorzes-sorozata-is-veget-ert-a-nyarral-az-eredmenyek-kedvezo-tapasztalatokat-hoztak</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8" w:name="_Toc239757892"/>
      <w:bookmarkStart w:id="179" w:name="_Toc239807837"/>
      <w:bookmarkStart w:id="180" w:name="_Toc239868485"/>
      <w:r>
        <w:rPr>
          <w:rFonts w:ascii="方正楷体_GBK" w:eastAsia="方正楷体_GBK" w:cs="宋体" w:hint="eastAsia"/>
          <w:bCs w:val="0"/>
          <w:kern w:val="0"/>
          <w:sz w:val="32"/>
          <w:szCs w:val="32"/>
        </w:rPr>
        <w:t>卢森堡发布2024年度食品中食品添加剂监管报告。</w:t>
      </w:r>
      <w:bookmarkEnd w:id="178"/>
      <w:bookmarkEnd w:id="179"/>
      <w:bookmarkEnd w:id="180"/>
    </w:p>
    <w:p>
      <w:pPr>
        <w:overflowPunct w:val="0"/>
        <w:ind w:firstLineChars="200" w:firstLine="624"/>
        <w:rPr>
          <w:rFonts w:eastAsia="方正仿宋_GBK"/>
          <w:kern w:val="0"/>
          <w:sz w:val="32"/>
          <w:szCs w:val="32"/>
        </w:rPr>
      </w:pPr>
      <w:r>
        <w:rPr>
          <w:rFonts w:eastAsia="方正仿宋_GBK" w:hint="eastAsia"/>
          <w:kern w:val="0"/>
          <w:sz w:val="32"/>
          <w:szCs w:val="32"/>
        </w:rPr>
        <w:t>2026年9月4日，卢森堡食品安全管理局发布2024年度食品添加剂监管报告，2024年卢森堡食品安全管理局针对对防腐剂、硝酸盐/亚硝酸盐、亚硫酸盐、色素、甜味剂、香精（蒲勒酮、咖啡因）等进行合规监测监督，共抽取低龄婴幼儿食品、水产品、肉制品、糖果等样本312个，主要内容如下：（1）共抽取50个样本检测防腐剂，4%不合格，其中番茄酱样本和非欧盟风味饮料各有一个样本不合格；（2）共抽取90个样本检测食用色素，3.3%不合格，主要不合格产品为马卡龙（法式夹心甜点）。</w:t>
      </w:r>
    </w:p>
    <w:p>
      <w:pPr>
        <w:overflowPunct w:val="0"/>
        <w:ind w:firstLineChars="200" w:firstLine="624"/>
        <w:rPr>
          <w:rFonts w:eastAsia="方正仿宋_GBK"/>
          <w:kern w:val="0"/>
          <w:sz w:val="32"/>
          <w:szCs w:val="32"/>
        </w:rPr>
      </w:pPr>
      <w:r>
        <w:rPr>
          <w:rFonts w:eastAsia="方正仿宋_GBK"/>
          <w:kern w:val="0"/>
          <w:sz w:val="32"/>
          <w:szCs w:val="32"/>
        </w:rPr>
        <w:t>https://securite-alimentaire.public.lu/fr/publications/rapports/rapport-ameliorants-2024.html</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1" w:name="_Toc239757893"/>
      <w:bookmarkStart w:id="182" w:name="_Toc239807838"/>
      <w:bookmarkStart w:id="183" w:name="_Toc239868486"/>
      <w:r>
        <w:rPr>
          <w:rFonts w:ascii="方正楷体_GBK" w:eastAsia="方正楷体_GBK" w:cs="宋体" w:hint="eastAsia"/>
          <w:bCs w:val="0"/>
          <w:kern w:val="0"/>
          <w:sz w:val="32"/>
          <w:szCs w:val="32"/>
        </w:rPr>
        <w:t>瑞士发布2025年度动物用抗生素使用报告。</w:t>
      </w:r>
      <w:bookmarkEnd w:id="181"/>
      <w:bookmarkEnd w:id="182"/>
      <w:bookmarkEnd w:id="183"/>
    </w:p>
    <w:p>
      <w:pPr>
        <w:overflowPunct w:val="0"/>
        <w:ind w:firstLineChars="200" w:firstLine="624"/>
        <w:rPr>
          <w:rFonts w:eastAsia="方正仿宋_GBK"/>
          <w:kern w:val="0"/>
          <w:sz w:val="32"/>
          <w:szCs w:val="32"/>
        </w:rPr>
      </w:pPr>
      <w:r>
        <w:rPr>
          <w:rFonts w:eastAsia="方正仿宋_GBK" w:hint="eastAsia"/>
          <w:kern w:val="0"/>
          <w:sz w:val="32"/>
          <w:szCs w:val="32"/>
        </w:rPr>
        <w:t>2026年9月3日，瑞士联邦食品安全与兽医局（BLV）网站发布《2025年度动物用抗生素使用报告》，报告显示2025年瑞士兽医抗生素消费量（含关键抗生素）继续呈下降趋势，销售与处方数据均证实这一积极走向。牛所用抗生素总量最大，但首次出现所有类别和指标的轻微下降，主要归因于2023年动物报告分类调整的影响逐渐消退。猪则相反，总量和治疗次数较2024年略有回升，扭转了2021-2023年的下降态势，增长主要由青霉素类驱动，同时关键抗生素（大环内酯类）用量仍持续减少，显示出以青霉素替代关键药的趋势。家禽抗生素总量绝对值较低，但关键抗生素占比仍较高，近年总量波动，2025年因磺胺类和青霉素类增加而上升，关键抗生素数量则自2021年以来持续走低。犬、马等宠物用量稳定或微降。销售数据显示总量持续下降，但按每公斤PCU（种群校正单位）计算，近四年基本恒定（&lt;30mg），提示总量减少部分源于牲畜存栏量下降。库存备药活性成分量持续减少至约6公斤，仅为2021年的十分之一。报告指出未来重点需针对奶牛和育肥犊牛等高用量类别制定减量方案，同时家禽和猪应持续巩固现有成果，确保动物健康与福利不受损害。</w:t>
      </w:r>
    </w:p>
    <w:p>
      <w:pPr>
        <w:overflowPunct w:val="0"/>
        <w:ind w:firstLineChars="200" w:firstLine="624"/>
        <w:rPr>
          <w:rFonts w:eastAsia="方正仿宋_GBK"/>
          <w:kern w:val="0"/>
          <w:sz w:val="32"/>
          <w:szCs w:val="32"/>
        </w:rPr>
      </w:pPr>
      <w:r>
        <w:rPr>
          <w:rFonts w:eastAsia="方正仿宋_GBK"/>
          <w:kern w:val="0"/>
          <w:sz w:val="32"/>
          <w:szCs w:val="32"/>
        </w:rPr>
        <w:t>https://www.blv.admin.ch/fr/utilisation-des-antibiotiques-chez-les-animaux-la-tendance-a-la-baisse-se-poursuit</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4" w:name="_Toc239757894"/>
      <w:bookmarkStart w:id="185" w:name="_Toc239807839"/>
      <w:bookmarkStart w:id="186" w:name="_Toc239868487"/>
      <w:r>
        <w:rPr>
          <w:rFonts w:ascii="方正楷体_GBK" w:eastAsia="方正楷体_GBK" w:cs="宋体" w:hint="eastAsia"/>
          <w:bCs w:val="0"/>
          <w:kern w:val="0"/>
          <w:sz w:val="32"/>
          <w:szCs w:val="32"/>
        </w:rPr>
        <w:t>摩尔多瓦发布进口食品标签要求。</w:t>
      </w:r>
      <w:bookmarkEnd w:id="184"/>
      <w:bookmarkEnd w:id="185"/>
      <w:bookmarkEnd w:id="186"/>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28日，摩尔多瓦国家食品安全局（ANSA）发布进口食品标签要求，要求在境内销售的食品必须使用罗马尼亚语标注标签，并直接标注在食品包装或标签上。包装上允许出现其他语言，但这不能替代以罗马尼亚语呈现的信息。对于进口食品，进口运营商必须确保在将产品推向摩尔多瓦市场前，其标签符合适用的国家要求，并且强制性信息以罗马尼亚语（国家语言）呈现。标签必须向消费者提供清晰易读的信息，包括包括产品名称、配料、致敏原、净含量、保质期或最佳食用日期、储存和使用条件、产品责任经营者、原产地以及营养成分表。ANSA提醒，标签上的信息不得误导消费者。</w:t>
      </w:r>
    </w:p>
    <w:p>
      <w:pPr>
        <w:overflowPunct w:val="0"/>
        <w:ind w:firstLineChars="200" w:firstLine="624"/>
        <w:rPr>
          <w:rFonts w:eastAsia="方正仿宋_GBK"/>
          <w:kern w:val="0"/>
          <w:sz w:val="32"/>
          <w:szCs w:val="32"/>
        </w:rPr>
      </w:pPr>
      <w:r>
        <w:rPr>
          <w:rFonts w:eastAsia="方正仿宋_GBK"/>
          <w:kern w:val="0"/>
          <w:sz w:val="32"/>
          <w:szCs w:val="32"/>
        </w:rPr>
        <w:t>https://ansa.gov.md/media/comunicate-de-presa/ansa-reaminteste-produsele-alimentare-trebuie-sa-fie-etichetate-limba</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7" w:name="_Toc239868488"/>
      <w:r>
        <w:rPr>
          <w:rFonts w:ascii="方正楷体_GBK" w:eastAsia="方正楷体_GBK" w:cs="宋体" w:hint="eastAsia"/>
          <w:bCs w:val="0"/>
          <w:kern w:val="0"/>
          <w:sz w:val="32"/>
          <w:szCs w:val="32"/>
        </w:rPr>
        <w:t>摩尔多瓦拟制订对食品中某些污染物监测的建议。</w:t>
      </w:r>
      <w:bookmarkEnd w:id="174"/>
      <w:bookmarkEnd w:id="187"/>
    </w:p>
    <w:p>
      <w:pPr>
        <w:overflowPunct w:val="0"/>
        <w:ind w:firstLineChars="200" w:firstLine="624"/>
        <w:rPr>
          <w:rFonts w:eastAsia="方正仿宋_GBK"/>
          <w:kern w:val="0"/>
          <w:sz w:val="32"/>
          <w:szCs w:val="32"/>
        </w:rPr>
      </w:pPr>
      <w:r>
        <w:rPr>
          <w:rFonts w:eastAsia="方正仿宋_GBK" w:hint="eastAsia"/>
          <w:kern w:val="0"/>
          <w:sz w:val="32"/>
          <w:szCs w:val="32"/>
        </w:rPr>
        <w:t>2026年8月26日，摩尔多瓦农业和食品工业部拟制订对食品中某些污染物监测的建议，意见反馈期截至2026年9月11日。主要内容包括：（1）食品中镍的监测：食品补充剂、巧克力、巧克力酱、坚果酱、可可豆、谷物制品（特别是早餐谷物、谷物片和燕麦粒）、即食汤、咖啡、茶、蔬菜、海藻、油籽、豆制品（如豆腐和豆浆）、豆类、坚果、鱼类和其他海产品；（2）鱼类、甲壳类动物和软体动物中汞的监测；食品中链格孢毒素的监测：加工番茄制品；辣椒粉；芝麻；葵花籽等；（3）食品中呋喃和烷基呋喃的监测：咖啡、罐装婴儿食品（包括容器装、管装和袋装婴儿食品）、即食汤、薯片、果汁、早餐麦片、饼干、脆饼和面包，检测方法的定量限（LOQ）咖啡≤20μg/kg，婴幼儿食品≤5μg/kg；食品中丙烯酰胺：马铃薯制品；烘焙食品等；监测食品中2-和3-氯丙烷-1,2-二醇（2-和3-MCPD）、2-和3-MCPD脂肪酸酯以及缩水甘油脂肪酸酯：植物油、特殊营养用途食品、腌制（熏制）肉类等，食用油和脂肪中MCPD和缩水甘油脂肪酸酯的定量限（LOQ）不得超过100μg/kg；（4）食品中痕量溴化阻燃剂的监测；食品中全氟烷基物质的监测包括：全氟辛烷磺酸（PFOS）；全氟辛酸（PFOA）；全氟壬酸（PFNA）；全氟丁酸（PFBA）等21种物质；蛋类、甲壳类动物和软体动物中PFOS、PFOA、PFNA和PFHxS的含量为0.30μg/kg；陆生动物可食用内脏中PFOS、PFOA、PFNA和PFHxS的含量为0.50μg/kg等限量要求。</w:t>
      </w:r>
    </w:p>
    <w:p>
      <w:pPr>
        <w:overflowPunct w:val="0"/>
        <w:ind w:firstLineChars="200" w:firstLine="624"/>
        <w:rPr>
          <w:rFonts w:eastAsia="方正仿宋_GBK"/>
          <w:kern w:val="0"/>
          <w:sz w:val="32"/>
          <w:szCs w:val="32"/>
        </w:rPr>
      </w:pPr>
      <w:r>
        <w:rPr>
          <w:rFonts w:eastAsia="方正仿宋_GBK"/>
          <w:kern w:val="0"/>
          <w:sz w:val="32"/>
          <w:szCs w:val="32"/>
        </w:rPr>
        <w:t>https://particip.gov.md/ro/document/stages/proiectul-de-ordin-cu-privire-la-aprobarea-recomandarilor-de-monitorizare-a-unor-contaminanti-din-pr/18139</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8" w:name="_Toc238774563"/>
      <w:bookmarkStart w:id="189" w:name="_Toc239868489"/>
      <w:r>
        <w:rPr>
          <w:rFonts w:ascii="方正楷体_GBK" w:eastAsia="方正楷体_GBK" w:cs="宋体" w:hint="eastAsia"/>
          <w:bCs w:val="0"/>
          <w:kern w:val="0"/>
          <w:sz w:val="32"/>
          <w:szCs w:val="32"/>
        </w:rPr>
        <w:t>乌克兰拟制订特殊医疗用途食品成分要求</w:t>
      </w:r>
      <w:bookmarkEnd w:id="188"/>
      <w:r>
        <w:rPr>
          <w:rFonts w:ascii="方正楷体_GBK" w:eastAsia="方正楷体_GBK" w:cs="宋体" w:hint="eastAsia"/>
          <w:bCs w:val="0"/>
          <w:kern w:val="0"/>
          <w:sz w:val="32"/>
          <w:szCs w:val="32"/>
        </w:rPr>
        <w:t>。</w:t>
      </w:r>
      <w:bookmarkEnd w:id="189"/>
    </w:p>
    <w:p>
      <w:pPr>
        <w:overflowPunct w:val="0"/>
        <w:ind w:firstLineChars="200" w:firstLine="624"/>
        <w:rPr>
          <w:rFonts w:eastAsia="方正仿宋_GBK"/>
          <w:kern w:val="0"/>
          <w:sz w:val="32"/>
          <w:szCs w:val="32"/>
        </w:rPr>
      </w:pPr>
      <w:r>
        <w:rPr>
          <w:rFonts w:eastAsia="方正仿宋_GBK" w:hint="eastAsia"/>
          <w:kern w:val="0"/>
          <w:sz w:val="32"/>
          <w:szCs w:val="32"/>
        </w:rPr>
        <w:t>2026年8月25日，乌克兰卫生部拟制订特殊医疗用途食品成分要求，意见反馈期为15天。主要内容如下：（1）允许使用的原料：维生素、矿物质、氨基酸、肉碱、萘啶、核苷酸、碱和肌醇；不得含危害健康的物质，人工纳米材料需经标准实验室验证安全；可使用乌克兰/欧盟获批的新型食品，需符合注册要求；维生素与矿物质含量应严格遵循附件中的限值；（2）食品标签强制标注要求：仅限医疗监护下使用；适用疾病/医疗状况的膳食用途声明；禁忌与注意事项；产品特性、配方调整说明与食用依据；冲调、使用、开封储存方法；（3）营养标签强制标注要求：维生素、矿物质含量；蛋白质、碳水、脂肪等关键营养素含量；蛋白质/蛋白水解物的来源与性质；钠含量应与其他矿物质一起标示，并可按以下方式在盐含量旁边重复标示：“盐：Xg（其中钠：Ymg）”；禁止宣称营养功效与健康益处；（4）婴幼儿专用产品要求：婴幼儿特殊医用食品中附录3所列农药，按附录3规定的最大残留限值执行，如：乙丙磷≤0.008mg/kg；原料不得含有附录4所列农药：艾氏剂、乐果等12种农药；禁止使用婴幼儿形象、不得美化产品；仅可使用工艺图示；包装与宣传需明显区别于普通婴幼儿配方奶粉，避免混淆；禁止向孕妇、母亲及家属免费/低价发放样品或礼品。</w:t>
      </w:r>
    </w:p>
    <w:p>
      <w:pPr>
        <w:overflowPunct w:val="0"/>
        <w:ind w:firstLineChars="200" w:firstLine="624"/>
        <w:rPr>
          <w:rFonts w:eastAsia="方正仿宋_GBK"/>
          <w:kern w:val="0"/>
          <w:sz w:val="32"/>
          <w:szCs w:val="32"/>
        </w:rPr>
      </w:pPr>
      <w:r>
        <w:rPr>
          <w:rFonts w:eastAsia="方正仿宋_GBK"/>
          <w:kern w:val="0"/>
          <w:sz w:val="32"/>
          <w:szCs w:val="32"/>
        </w:rPr>
        <w:t>https://moz.gov.ua/uk/povidomlennya-pro-oprilyudnennya-doopracovanogo-proyektu-nakazu-ministerstva-ohoroni-zdorov-ya-ukrayini-pro-zatverdzhennya-vimog-do-skladu-harchovih-produktiv-dlya-specialnih-medichnih-cilej</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0" w:name="_Toc239156175"/>
      <w:bookmarkStart w:id="191" w:name="_Toc239868490"/>
      <w:bookmarkStart w:id="192" w:name="_Toc238774567"/>
      <w:r>
        <w:rPr>
          <w:rFonts w:ascii="方正楷体_GBK" w:eastAsia="方正楷体_GBK" w:cs="宋体" w:hint="eastAsia"/>
          <w:bCs w:val="0"/>
          <w:kern w:val="0"/>
          <w:sz w:val="32"/>
          <w:szCs w:val="32"/>
        </w:rPr>
        <w:t>澳大利亚修订澳新食品标准规范。</w:t>
      </w:r>
      <w:bookmarkEnd w:id="190"/>
      <w:bookmarkEnd w:id="191"/>
    </w:p>
    <w:p>
      <w:pPr>
        <w:overflowPunct w:val="0"/>
        <w:ind w:firstLineChars="200" w:firstLine="624"/>
        <w:rPr>
          <w:rFonts w:eastAsia="方正仿宋_GBK"/>
          <w:kern w:val="0"/>
          <w:sz w:val="32"/>
          <w:szCs w:val="32"/>
        </w:rPr>
      </w:pPr>
      <w:r>
        <w:rPr>
          <w:rFonts w:eastAsia="方正仿宋_GBK" w:hint="eastAsia"/>
          <w:kern w:val="0"/>
          <w:sz w:val="32"/>
          <w:szCs w:val="32"/>
        </w:rPr>
        <w:t>2026年9月1日，澳新食品标准局（FSANZ）发布410-26号通知，修订澳新食品标准规范，自发布之日起实施。主要内容如下：（1）北领地养殖的黑唇岩牡蛎排除在贝类镉的最大限量之外，豁免在北领地养殖的黑唇岩牡蛎（Saccostrea spathulata）的镉（Cd）最大限量（ML）为2mg/kg（针对软体动物）；（2）允许在婴儿配方产品中自愿使用2′-FL、3-FL、LNT、3′-SL和6′-SL，单独或组合使用，作为营养物质。这些营养物质成分来源于各种转基因；（3）允许转基因大肠杆菌BL21（基因供体：Akkermansia muciniphila）用于生产2′-FL，作为婴儿配方奶粉产品中的营养成分；（4）允许来自黑曲霉（基因供体：Evansstolkia leycettanus）的果胶酶作为咖啡加工助剂；（5）允许来自Trichoderma reesei（基因供体：Fusarium verticillioides）的葡萄糖淀粉酶作为加工助剂使用</w:t>
      </w:r>
    </w:p>
    <w:p>
      <w:pPr>
        <w:overflowPunct w:val="0"/>
        <w:ind w:firstLineChars="200" w:firstLine="624"/>
        <w:rPr>
          <w:rFonts w:eastAsia="方正仿宋_GBK"/>
          <w:kern w:val="0"/>
          <w:sz w:val="32"/>
          <w:szCs w:val="32"/>
        </w:rPr>
      </w:pPr>
      <w:r>
        <w:rPr>
          <w:rFonts w:eastAsia="方正仿宋_GBK"/>
          <w:kern w:val="0"/>
          <w:sz w:val="32"/>
          <w:szCs w:val="32"/>
        </w:rPr>
        <w:t>https://www.foodstandards.gov.au/food-standards-code/circulars/notification-circular-410-26</w:t>
      </w:r>
    </w:p>
    <w:p>
      <w:pPr>
        <w:pStyle w:val="1"/>
        <w:numPr>
          <w:ilvl w:val="0"/>
          <w:numId w:val="2"/>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3" w:name="_Toc239156176"/>
      <w:bookmarkStart w:id="194" w:name="_Toc239868491"/>
      <w:r>
        <w:rPr>
          <w:rFonts w:ascii="方正楷体_GBK" w:eastAsia="方正楷体_GBK" w:cs="宋体" w:hint="eastAsia"/>
          <w:bCs w:val="0"/>
          <w:kern w:val="0"/>
          <w:sz w:val="32"/>
          <w:szCs w:val="32"/>
        </w:rPr>
        <w:t>澳大利亚修订部分食品中萎锈灵等农药的最大残留限量。</w:t>
      </w:r>
      <w:bookmarkEnd w:id="193"/>
      <w:bookmarkEnd w:id="194"/>
    </w:p>
    <w:p>
      <w:pPr>
        <w:overflowPunct w:val="0"/>
        <w:ind w:firstLineChars="200" w:firstLine="624"/>
        <w:rPr>
          <w:rFonts w:eastAsia="方正仿宋_GBK"/>
          <w:kern w:val="0"/>
          <w:sz w:val="32"/>
          <w:szCs w:val="32"/>
        </w:rPr>
      </w:pPr>
      <w:r>
        <w:rPr>
          <w:rFonts w:eastAsia="方正仿宋_GBK" w:hint="eastAsia"/>
          <w:kern w:val="0"/>
          <w:sz w:val="32"/>
          <w:szCs w:val="32"/>
        </w:rPr>
        <w:t>2026年8月25日，澳大利亚农兽药管理局发布第17号公报，修订澳新食品法典附表20（农兽药最大残留限量标准），自本发布之日起生效。主要内容为修订部分食品中萎锈灵（Carboxin）等多种农药的最大残留限量。部分修订内容如下表所示（表格中“*”表示MRL的设定或接近分析定量的极限）。</w:t>
      </w:r>
    </w:p>
    <w:tbl>
      <w:tblPr>
        <w:jc w:val="center"/>
        <w:tblW w:w="8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191"/>
        <w:gridCol w:w="2542"/>
        <w:gridCol w:w="2136"/>
        <w:gridCol w:w="1934"/>
      </w:tblGrid>
      <w:tr>
        <w:trPr>
          <w:trHeight w:val="151"/>
          <w:tblHeader/>
        </w:trPr>
        <w:tc>
          <w:tcPr>
            <w:tcW w:w="2191"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农药</w:t>
            </w:r>
            <w:r>
              <w:rPr>
                <w:rFonts w:eastAsia="方正仿宋_GBK"/>
                <w:b/>
                <w:bCs/>
                <w:sz w:val="24"/>
              </w:rPr>
              <w:t>名称</w:t>
            </w:r>
          </w:p>
        </w:tc>
        <w:tc>
          <w:tcPr>
            <w:tcW w:w="254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食品种类</w:t>
            </w:r>
          </w:p>
        </w:tc>
        <w:tc>
          <w:tcPr>
            <w:tcW w:w="213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原最大残留量</w:t>
            </w:r>
            <w:r>
              <w:rPr>
                <w:rFonts w:eastAsia="方正仿宋_GBK" w:hint="eastAsia"/>
                <w:b/>
                <w:bCs/>
                <w:sz w:val="24"/>
              </w:rPr>
              <w:t>（</w:t>
            </w:r>
            <w:r>
              <w:rPr>
                <w:rFonts w:eastAsia="方正仿宋_GBK"/>
                <w:b/>
                <w:bCs/>
                <w:sz w:val="24"/>
              </w:rPr>
              <w:t>mg/kg</w:t>
            </w:r>
            <w:r>
              <w:rPr>
                <w:rFonts w:eastAsia="方正仿宋_GBK" w:hint="eastAsia"/>
                <w:b/>
                <w:bCs/>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制修订的最大残留量</w:t>
            </w:r>
            <w:r>
              <w:rPr>
                <w:rFonts w:eastAsia="方正仿宋_GBK" w:hint="eastAsia"/>
                <w:b/>
                <w:bCs/>
                <w:sz w:val="24"/>
              </w:rPr>
              <w:t>（</w:t>
            </w:r>
            <w:r>
              <w:rPr>
                <w:rFonts w:eastAsia="方正仿宋_GBK"/>
                <w:b/>
                <w:bCs/>
                <w:sz w:val="24"/>
              </w:rPr>
              <w:t>mg/kg</w:t>
            </w:r>
            <w:r>
              <w:rPr>
                <w:rFonts w:eastAsia="方正仿宋_GBK" w:hint="eastAsia"/>
                <w:b/>
                <w:bCs/>
                <w:sz w:val="24"/>
              </w:rPr>
              <w:t>）</w:t>
            </w:r>
          </w:p>
        </w:tc>
      </w:tr>
      <w:tr>
        <w:trPr>
          <w:trHeight w:val="151"/>
          <w:tblHeader/>
        </w:trPr>
        <w:tc>
          <w:tcPr>
            <w:tcW w:w="2191"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萎锈灵（Carboxin）</w:t>
            </w: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食用内脏（哺乳动物）</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r>
      <w:tr>
        <w:trPr>
          <w:trHeight w:val="151"/>
          <w:tblHeader/>
        </w:trPr>
        <w:tc>
          <w:tcPr>
            <w:tcW w:w="2191" w:type="dxa"/>
            <w:vMerge/>
            <w:tcBorders>
              <w:left w:val="single" w:sz="4" w:space="0" w:color="auto"/>
              <w:bottom w:val="single" w:sz="4" w:space="0" w:color="auto"/>
              <w:right w:val="single" w:sz="4" w:space="0" w:color="auto"/>
            </w:tcBorders>
            <w:vAlign w:val="center"/>
          </w:tcP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蛋类、肉类（哺乳动物）、奶类、禽肉、禽类食用内脏</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*0.03</w:t>
            </w:r>
          </w:p>
        </w:tc>
      </w:tr>
      <w:tr>
        <w:trPr>
          <w:trHeight w:val="151"/>
          <w:tblHeader/>
        </w:trPr>
        <w:tc>
          <w:tcPr>
            <w:tcW w:w="2191"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溴氰虫酰胺(Cyantraniliprole)</w:t>
            </w: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叶类蔬菜</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6</w:t>
            </w:r>
          </w:p>
        </w:tc>
      </w:tr>
      <w:tr>
        <w:trPr>
          <w:trHeight w:val="151"/>
          <w:tblHeader/>
        </w:trPr>
        <w:tc>
          <w:tcPr>
            <w:tcW w:w="2191" w:type="dxa"/>
            <w:vMerge/>
            <w:tcBorders>
              <w:left w:val="single" w:sz="4" w:space="0" w:color="auto"/>
              <w:right w:val="single" w:sz="4" w:space="0" w:color="auto"/>
            </w:tcBorders>
            <w:vAlign w:val="center"/>
          </w:tcP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豆类蔬菜</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0.4</w:t>
            </w:r>
          </w:p>
        </w:tc>
      </w:tr>
      <w:tr>
        <w:trPr>
          <w:trHeight w:val="151"/>
          <w:tblHeader/>
        </w:trPr>
        <w:tc>
          <w:tcPr>
            <w:tcW w:w="2191" w:type="dxa"/>
            <w:vMerge/>
            <w:tcBorders>
              <w:left w:val="single" w:sz="4" w:space="0" w:color="auto"/>
              <w:right w:val="single" w:sz="4" w:space="0" w:color="auto"/>
            </w:tcBorders>
            <w:vAlign w:val="center"/>
          </w:tcP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结球莴苣</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1.5</w:t>
            </w:r>
          </w:p>
        </w:tc>
      </w:tr>
      <w:tr>
        <w:trPr>
          <w:trHeight w:val="151"/>
          <w:tblHeader/>
        </w:trPr>
        <w:tc>
          <w:tcPr>
            <w:tcW w:w="2191" w:type="dxa"/>
            <w:vMerge/>
            <w:tcBorders>
              <w:left w:val="single" w:sz="4" w:space="0" w:color="auto"/>
              <w:right w:val="single" w:sz="4" w:space="0" w:color="auto"/>
            </w:tcBorders>
            <w:vAlign w:val="center"/>
          </w:tcP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车前子属植物</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r>
      <w:tr>
        <w:trPr>
          <w:trHeight w:val="151"/>
          <w:tblHeader/>
        </w:trPr>
        <w:tc>
          <w:tcPr>
            <w:tcW w:w="2191" w:type="dxa"/>
            <w:vMerge/>
            <w:tcBorders>
              <w:left w:val="single" w:sz="4" w:space="0" w:color="auto"/>
              <w:right w:val="single" w:sz="4" w:space="0" w:color="auto"/>
            </w:tcBorders>
            <w:vAlign w:val="center"/>
          </w:tcP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食用内脏（哺乳动物）</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0.05</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r>
      <w:tr>
        <w:trPr>
          <w:trHeight w:val="151"/>
          <w:tblHeader/>
        </w:trPr>
        <w:tc>
          <w:tcPr>
            <w:tcW w:w="2191" w:type="dxa"/>
            <w:vMerge/>
            <w:tcBorders>
              <w:left w:val="single" w:sz="4" w:space="0" w:color="auto"/>
              <w:bottom w:val="single" w:sz="4" w:space="0" w:color="auto"/>
              <w:right w:val="single" w:sz="4" w:space="0" w:color="auto"/>
            </w:tcBorders>
            <w:vAlign w:val="center"/>
          </w:tcP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肉类（哺乳动物）</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0.03</w:t>
            </w:r>
          </w:p>
        </w:tc>
      </w:tr>
      <w:tr>
        <w:trPr>
          <w:trHeight w:val="151"/>
          <w:tblHeader/>
        </w:trPr>
        <w:tc>
          <w:tcPr>
            <w:tcW w:w="2191"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丁醚脲(Diafenthiuron)</w:t>
            </w: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叶类蔬菜</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8</w:t>
            </w:r>
          </w:p>
        </w:tc>
      </w:tr>
      <w:tr>
        <w:trPr>
          <w:trHeight w:val="151"/>
          <w:tblHeader/>
        </w:trPr>
        <w:tc>
          <w:tcPr>
            <w:tcW w:w="2191" w:type="dxa"/>
            <w:vMerge/>
            <w:tcBorders>
              <w:left w:val="single" w:sz="4" w:space="0" w:color="auto"/>
              <w:right w:val="single" w:sz="4" w:space="0" w:color="auto"/>
            </w:tcBorders>
            <w:vAlign w:val="center"/>
          </w:tcP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豆类蔬菜</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0.9</w:t>
            </w:r>
          </w:p>
        </w:tc>
      </w:tr>
      <w:tr>
        <w:trPr>
          <w:trHeight w:val="151"/>
          <w:tblHeader/>
        </w:trPr>
        <w:tc>
          <w:tcPr>
            <w:tcW w:w="2191" w:type="dxa"/>
            <w:vMerge/>
            <w:tcBorders>
              <w:left w:val="single" w:sz="4" w:space="0" w:color="auto"/>
              <w:right w:val="single" w:sz="4" w:space="0" w:color="auto"/>
            </w:tcBorders>
            <w:vAlign w:val="center"/>
          </w:tcP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生菜</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4</w:t>
            </w:r>
          </w:p>
        </w:tc>
      </w:tr>
      <w:tr>
        <w:trPr>
          <w:trHeight w:val="151"/>
          <w:tblHeader/>
        </w:trPr>
        <w:tc>
          <w:tcPr>
            <w:tcW w:w="2191" w:type="dxa"/>
            <w:vMerge/>
            <w:tcBorders>
              <w:left w:val="single" w:sz="4" w:space="0" w:color="auto"/>
              <w:bottom w:val="single" w:sz="4" w:space="0" w:color="auto"/>
              <w:right w:val="single" w:sz="4" w:space="0" w:color="auto"/>
            </w:tcBorders>
            <w:vAlign w:val="center"/>
          </w:tcPr>
          <w:p/>
        </w:tc>
        <w:tc>
          <w:tcPr>
            <w:tcW w:w="254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马铃薯</w:t>
            </w:r>
          </w:p>
        </w:tc>
        <w:tc>
          <w:tcPr>
            <w:tcW w:w="21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3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*0.03</w:t>
            </w:r>
          </w:p>
        </w:tc>
      </w:tr>
    </w:tbl>
    <w:p>
      <w:pPr>
        <w:overflowPunct w:val="0"/>
        <w:ind w:firstLineChars="200" w:firstLine="624"/>
        <w:rPr>
          <w:rFonts w:eastAsia="方正仿宋_GBK"/>
          <w:kern w:val="0"/>
          <w:sz w:val="32"/>
          <w:szCs w:val="32"/>
        </w:rPr>
      </w:pPr>
      <w:r>
        <w:rPr>
          <w:rFonts w:eastAsia="方正仿宋_GBK"/>
          <w:kern w:val="0"/>
          <w:sz w:val="32"/>
          <w:szCs w:val="32"/>
        </w:rPr>
        <w:t>https://www.apvma.gov.au/news-and-publications/publications/gazette/gazette-17-25-aug-26</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5" w:name="_Toc239868492"/>
      <w:bookmarkStart w:id="196" w:name="_Toc239156179"/>
      <w:r>
        <w:rPr>
          <w:rFonts w:ascii="方正楷体_GBK" w:eastAsia="方正楷体_GBK" w:cs="宋体" w:hint="eastAsia"/>
          <w:bCs w:val="0"/>
          <w:kern w:val="0"/>
          <w:sz w:val="32"/>
          <w:szCs w:val="32"/>
        </w:rPr>
        <w:t>新西兰发布2026/27年度国家乳品化学残留物与污染物监测计划采样方案。</w:t>
      </w:r>
      <w:bookmarkEnd w:id="195"/>
    </w:p>
    <w:p>
      <w:pPr>
        <w:overflowPunct w:val="0"/>
        <w:ind w:firstLineChars="200" w:firstLine="624"/>
        <w:rPr>
          <w:rFonts w:eastAsia="方正仿宋_GBK"/>
          <w:kern w:val="0"/>
          <w:sz w:val="32"/>
          <w:szCs w:val="32"/>
        </w:rPr>
      </w:pPr>
      <w:r>
        <w:rPr>
          <w:rFonts w:eastAsia="方正仿宋_GBK" w:hint="eastAsia"/>
          <w:kern w:val="0"/>
          <w:sz w:val="32"/>
          <w:szCs w:val="32"/>
        </w:rPr>
        <w:t>2026年8月30日，新西兰食品安全局（New Zealand Food Safety）发布《国家乳品化学残留物与污染物监测计划（NCCP）2026/27年度采样方案》。主要内容包括：（1）计划从全国随机抽取305个农场样本，包括300份出口级牛乳、4份其他物种乳、1份国内牛乳及7份初乳；（2）预计2026/27年度开展超过125万次生乳残留测试，其中约52万次为抑菌物质（抗生素）个体农场测试，约73万次为β-内酰胺类罐车卸货前测试，行动限值设为新西兰、法典和进口国MRL的最低值，对于未授权物质则设为报告限或检出限；（3）各类特定物质采样规模明确：至少300份样本检测有机氯农药（持续监测环境残留）、有机磷杀虫剂、拟除虫菊酯和氨基甲酸酯、苯并咪唑类和大环内酯类驱虫药、氯霉素及硝基呋喃代谢物、重金属（砷、镉、铅、汞）及铋（用于干奶期乳头密封剂），黄曲霉毒素M1检测300份（因进口饲料增加）；（4）较低频率但重点监控项目包括：63份样本检测糖皮质激素、非甾体抗炎药、抗球虫药、酸性除草剂、抗凝血灭鼠剂、氟乙酸钠（1080）、邻苯二甲酸酯、双氰胺、氯酸盐和高氯酸盐，64份样本检测三聚氰胺和季铵化合物，所有样本同时检测完整性指标（如尿素、硫氰酸盐、多种矿物元素）以发现掺假；（5）对未经授权禁用物质实施严格抽检，如硝基呋喃代谢物（至少300份）和氯霉素（至少300份），虽无注册使用但受国际关注，任何检出即启动调查。</w:t>
      </w:r>
    </w:p>
    <w:p>
      <w:pPr>
        <w:overflowPunct w:val="0"/>
        <w:ind w:firstLineChars="200" w:firstLine="624"/>
        <w:rPr>
          <w:rFonts w:eastAsia="方正仿宋_GBK"/>
          <w:kern w:val="0"/>
          <w:sz w:val="32"/>
          <w:szCs w:val="32"/>
        </w:rPr>
      </w:pPr>
      <w:r>
        <w:rPr>
          <w:rFonts w:eastAsia="方正仿宋_GBK"/>
          <w:kern w:val="0"/>
          <w:sz w:val="32"/>
          <w:szCs w:val="32"/>
        </w:rPr>
        <w:t>https://www.mpi.govt.nz/dmsdocument/72445-National-Programme-for-the-Monitoring-of-Chemical-Residues-and-Contaminants-in-Milk-Plan-for-1-July-2026-to-30-June-2027</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7" w:name="_Toc239807841"/>
      <w:bookmarkStart w:id="198" w:name="_Toc239868493"/>
      <w:r>
        <w:rPr>
          <w:rFonts w:ascii="方正楷体_GBK" w:eastAsia="方正楷体_GBK" w:cs="宋体" w:hint="eastAsia"/>
          <w:bCs w:val="0"/>
          <w:kern w:val="0"/>
          <w:sz w:val="32"/>
          <w:szCs w:val="32"/>
        </w:rPr>
        <w:t>加拿大发布食品中邻苯二甲酸酯抽检报告。</w:t>
      </w:r>
      <w:bookmarkEnd w:id="197"/>
      <w:bookmarkEnd w:id="198"/>
    </w:p>
    <w:p>
      <w:pPr>
        <w:overflowPunct w:val="0"/>
        <w:ind w:firstLineChars="200" w:firstLine="624"/>
        <w:rPr>
          <w:rFonts w:eastAsia="方正仿宋_GBK"/>
          <w:kern w:val="0"/>
          <w:sz w:val="32"/>
          <w:szCs w:val="32"/>
        </w:rPr>
      </w:pPr>
      <w:r>
        <w:rPr>
          <w:rFonts w:eastAsia="方正仿宋_GBK" w:hint="eastAsia"/>
          <w:kern w:val="0"/>
          <w:sz w:val="32"/>
          <w:szCs w:val="32"/>
        </w:rPr>
        <w:t>2026年8月30日，加拿大卫生部与加拿大食品检验局发布《部分食品中邻苯二甲酸酯》抽检报告，针对加拿大零售市场食品中6种邻苯二甲酸酯（BBP、DBP、DEHP、DIDP、DINP、DNOP）进行监测，共采集4517份国产及进口食品样本，涵盖饮料、乳制品、油脂、谷物、婴幼儿食品、肉类、坚果酱、果蔬加工品、即食餐和酱料等10大类。核心内容包括：（1）总体检出率为22%（977份检出），其中78%样本未检出可检测浓度的邻苯二甲酸酯，总邻苯二甲酸酯浓度范围在0.26mg/kg（大豆油）至2608mg/kg（红棕榈油）之间；（2）检出率最高的食品类别为即食餐（52%，131/250），最低为饮料（0.3%，2/589）；平均浓度最高为油脂类（72mg/kg），最低为饮料（0.48mg/kg）。</w:t>
      </w:r>
    </w:p>
    <w:p>
      <w:pPr>
        <w:overflowPunct w:val="0"/>
        <w:ind w:firstLineChars="200" w:firstLine="624"/>
        <w:rPr>
          <w:rFonts w:eastAsia="方正仿宋_GBK"/>
          <w:kern w:val="0"/>
          <w:sz w:val="32"/>
          <w:szCs w:val="32"/>
        </w:rPr>
      </w:pPr>
      <w:r>
        <w:rPr>
          <w:rFonts w:eastAsia="方正仿宋_GBK"/>
          <w:kern w:val="0"/>
          <w:sz w:val="32"/>
          <w:szCs w:val="32"/>
        </w:rPr>
        <w:t>https://open-science.canada.ca/items/6977636d-b4c7-4585-9454-2a90eba79f73</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9" w:name="_Toc239757896"/>
      <w:bookmarkStart w:id="200" w:name="_Toc239807842"/>
      <w:bookmarkStart w:id="201" w:name="_Toc239868494"/>
      <w:r>
        <w:rPr>
          <w:rFonts w:ascii="方正楷体_GBK" w:eastAsia="方正楷体_GBK" w:cs="宋体" w:hint="eastAsia"/>
          <w:bCs w:val="0"/>
          <w:kern w:val="0"/>
          <w:sz w:val="32"/>
          <w:szCs w:val="32"/>
        </w:rPr>
        <w:t>土耳其发布啤酒新规公报。</w:t>
      </w:r>
      <w:bookmarkEnd w:id="199"/>
      <w:bookmarkEnd w:id="200"/>
      <w:bookmarkEnd w:id="201"/>
    </w:p>
    <w:p>
      <w:pPr>
        <w:overflowPunct w:val="0"/>
        <w:ind w:firstLineChars="200" w:firstLine="624"/>
        <w:rPr>
          <w:rFonts w:eastAsia="方正仿宋_GBK"/>
          <w:kern w:val="0"/>
          <w:sz w:val="32"/>
          <w:szCs w:val="32"/>
        </w:rPr>
      </w:pPr>
      <w:r>
        <w:rPr>
          <w:rFonts w:eastAsia="方正仿宋_GBK" w:hint="eastAsia"/>
          <w:kern w:val="0"/>
          <w:sz w:val="32"/>
          <w:szCs w:val="32"/>
        </w:rPr>
        <w:t>2026年9月2日，土耳其食品和控制总局发布啤酒新规公报（编号：2026/23），拟废止2006年版旧规，旨在全面规范啤酒和风味啤酒的生产、储存、运输及市场销售行为，提升产品品质与消费者信息透明度，主要内容如下：（1）核心产品要求：啤酒须以麦芽为主要原料，麦芽占比不得低于60%；酒精体积分数依产品分为三类：低醇（＞0.5%且≤3%）、普通（＞3%且≤6%）和高醇（＞6%且≤10%），pH值需控制在2.8～4.8之间，二氧化碳含量≥0.3%（重量）。禁止为增甜添加任何糖类，且深色啤酒不得通过着色浅色啤酒制得。发酵结束后不得添加果汁、果汁浓缩物等糖源成分；（2）标签与命名规范：标签须标明酒精含量及所用浸出物原料。若除大麦麦芽外其他谷物麦芽比例达25%以上，产品名称须注明谷物品种（如“××谷物啤酒”）。风味啤酒须明确标注“风味”字样或所用风味名称。能量较常规降低至少30%的低醇啤酒可使用“淡爽”或等同表述。桶装啤酒须标注商业品牌或名称；（3）过渡与实施：草案发布前已运营的食品企业须在2027年9月1日前完成合规调整；此前已上市产品可在保质期内继续销售。过渡期内，相关企业仍可按旧规执行。草案自官方发布之日起生效，违反规定者将依据相关法律予以行政处罚。新规同时明确添加剂、污染物、农药残留等指标均参照土耳其现行食品法规执行。</w:t>
      </w:r>
    </w:p>
    <w:p>
      <w:pPr>
        <w:overflowPunct w:val="0"/>
        <w:ind w:firstLineChars="200" w:firstLine="624"/>
        <w:rPr>
          <w:rFonts w:eastAsia="方正仿宋_GBK"/>
          <w:kern w:val="0"/>
          <w:sz w:val="32"/>
          <w:szCs w:val="32"/>
        </w:rPr>
      </w:pPr>
      <w:r>
        <w:rPr>
          <w:rFonts w:eastAsia="方正仿宋_GBK"/>
          <w:kern w:val="0"/>
          <w:sz w:val="32"/>
          <w:szCs w:val="32"/>
        </w:rPr>
        <w:t>https://www.tarimorman.gov.tr/GKGM/Duyuru/717/Mevzuat-Taslagi-Tgk-Bira-Tebligi</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2" w:name="_Toc239757897"/>
      <w:bookmarkStart w:id="203" w:name="_Toc239807843"/>
      <w:bookmarkStart w:id="204" w:name="_Toc239868495"/>
      <w:r>
        <w:rPr>
          <w:rFonts w:ascii="方正楷体_GBK" w:eastAsia="方正楷体_GBK" w:cs="宋体" w:hint="eastAsia"/>
          <w:bCs w:val="0"/>
          <w:kern w:val="0"/>
          <w:sz w:val="32"/>
          <w:szCs w:val="32"/>
        </w:rPr>
        <w:t>土耳其修订干洋葱等食品进口关税税率。</w:t>
      </w:r>
      <w:bookmarkEnd w:id="202"/>
      <w:bookmarkEnd w:id="203"/>
      <w:bookmarkEnd w:id="204"/>
    </w:p>
    <w:p>
      <w:pPr>
        <w:overflowPunct w:val="0"/>
        <w:ind w:firstLineChars="200" w:firstLine="624"/>
        <w:rPr>
          <w:rFonts w:eastAsia="方正仿宋_GBK"/>
          <w:kern w:val="0"/>
          <w:sz w:val="32"/>
          <w:szCs w:val="32"/>
        </w:rPr>
      </w:pPr>
      <w:r>
        <w:rPr>
          <w:rFonts w:eastAsia="方正仿宋_GBK" w:hint="eastAsia"/>
          <w:kern w:val="0"/>
          <w:sz w:val="32"/>
          <w:szCs w:val="32"/>
        </w:rPr>
        <w:t>2026年8月27日，土耳其官方公报发布第11644号总统令《关于修订进口制度决定的决议》，自发布之日起生效。主要内容：（1）修订2020年12月30日第3350号总统令《进口制度决定》附件一中“第7节”编码0703.10.19.00.11（干洋葱）的进口关税税率为5%（波斯尼亚和黑塞哥维那、新加坡及科索沃除外），截止日期到2027年1月31日（含当日）；（2）修订附件一中“第12节”编码1206.00.91.00.19（葵花籽）和1206.00.99.00.19（去壳油用葵花籽）进口关税税率为12%，日期为1月1日至6月15日（含当日）以及10月1日至12月31日（含当日）。</w:t>
      </w:r>
    </w:p>
    <w:p>
      <w:pPr>
        <w:overflowPunct w:val="0"/>
        <w:ind w:firstLineChars="200" w:firstLine="624"/>
        <w:rPr>
          <w:rFonts w:eastAsia="方正仿宋_GBK"/>
          <w:kern w:val="0"/>
          <w:sz w:val="32"/>
          <w:szCs w:val="32"/>
        </w:rPr>
      </w:pPr>
      <w:r>
        <w:rPr>
          <w:rFonts w:eastAsia="方正仿宋_GBK"/>
          <w:kern w:val="0"/>
          <w:sz w:val="32"/>
          <w:szCs w:val="32"/>
        </w:rPr>
        <w:t>https://www.resmigazete.gov.tr/eskiler/2026/08/20260827-2.pdf</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5" w:name="_Toc239807844"/>
      <w:bookmarkStart w:id="206" w:name="_Toc239868496"/>
      <w:r>
        <w:rPr>
          <w:rFonts w:ascii="方正楷体_GBK" w:eastAsia="方正楷体_GBK" w:cs="宋体" w:hint="eastAsia"/>
          <w:bCs w:val="0"/>
          <w:kern w:val="0"/>
          <w:sz w:val="32"/>
          <w:szCs w:val="32"/>
        </w:rPr>
        <w:t>韩国拟修订贴牌进口食品等卫生检查标准及卫生评价方法。</w:t>
      </w:r>
      <w:bookmarkEnd w:id="205"/>
      <w:bookmarkEnd w:id="206"/>
    </w:p>
    <w:p>
      <w:pPr>
        <w:overflowPunct w:val="0"/>
        <w:ind w:firstLineChars="200" w:firstLine="624"/>
        <w:rPr>
          <w:rFonts w:eastAsia="方正仿宋_GBK"/>
          <w:kern w:val="0"/>
          <w:sz w:val="32"/>
          <w:szCs w:val="32"/>
        </w:rPr>
      </w:pPr>
      <w:r>
        <w:rPr>
          <w:rFonts w:eastAsia="方正仿宋_GBK"/>
          <w:kern w:val="0"/>
          <w:sz w:val="32"/>
          <w:szCs w:val="32"/>
        </w:rPr>
        <w:t>2026年9月2日，韩国食药部（MFDS）发布2026-433号公告，拟修订《贴牌进口食品等卫生检查标准及卫生评价方法》，意见反馈期</w:t>
      </w:r>
      <w:r>
        <w:rPr>
          <w:rFonts w:eastAsia="方正仿宋_GBK" w:hint="eastAsia"/>
          <w:kern w:val="0"/>
          <w:sz w:val="32"/>
          <w:szCs w:val="32"/>
        </w:rPr>
        <w:t>截至</w:t>
      </w:r>
      <w:r>
        <w:rPr>
          <w:rFonts w:eastAsia="方正仿宋_GBK"/>
          <w:kern w:val="0"/>
          <w:sz w:val="32"/>
          <w:szCs w:val="32"/>
        </w:rPr>
        <w:t>2026年9月22日。主要内容</w:t>
      </w:r>
      <w:r>
        <w:rPr>
          <w:rFonts w:eastAsia="方正仿宋_GBK" w:hint="eastAsia"/>
          <w:kern w:val="0"/>
          <w:sz w:val="32"/>
          <w:szCs w:val="32"/>
        </w:rPr>
        <w:t>如下</w:t>
      </w:r>
      <w:r>
        <w:rPr>
          <w:rFonts w:eastAsia="方正仿宋_GBK"/>
          <w:kern w:val="0"/>
          <w:sz w:val="32"/>
          <w:szCs w:val="32"/>
        </w:rPr>
        <w:t>：</w:t>
      </w:r>
      <w:r>
        <w:rPr>
          <w:rFonts w:eastAsia="方正仿宋_GBK" w:hint="eastAsia"/>
          <w:kern w:val="0"/>
          <w:sz w:val="32"/>
          <w:szCs w:val="32"/>
        </w:rPr>
        <w:t>（1）</w:t>
      </w:r>
      <w:r>
        <w:rPr>
          <w:rFonts w:eastAsia="方正仿宋_GBK"/>
          <w:kern w:val="0"/>
          <w:sz w:val="32"/>
          <w:szCs w:val="32"/>
        </w:rPr>
        <w:t>结合食用人群，优化卫生评价周期（草案第3条第1款）。拟将归类为食品的婴儿配方食品、成长配方食品，以及食用人群相同但归类为畜产品的配方乳类，其卫生评价周期统一适用为1年，与食品保持一致</w:t>
      </w:r>
      <w:r>
        <w:rPr>
          <w:rFonts w:eastAsia="方正仿宋_GBK" w:hint="eastAsia"/>
          <w:kern w:val="0"/>
          <w:sz w:val="32"/>
          <w:szCs w:val="32"/>
        </w:rPr>
        <w:t>；（2）</w:t>
      </w:r>
      <w:r>
        <w:rPr>
          <w:rFonts w:eastAsia="方正仿宋_GBK"/>
          <w:kern w:val="0"/>
          <w:sz w:val="32"/>
          <w:szCs w:val="32"/>
        </w:rPr>
        <w:t>提升卫生评价优待措施实效性（草案第8条第2款）。对于由取得进口食品安全管理认证适用企业资质的境外生产企业制造、加工的食品，若以OEM方式进口，视同已完成现场卫生评价。</w:t>
      </w:r>
    </w:p>
    <w:p>
      <w:pPr>
        <w:overflowPunct w:val="0"/>
        <w:ind w:firstLineChars="200" w:firstLine="624"/>
        <w:rPr>
          <w:rFonts w:eastAsia="方正仿宋_GBK"/>
          <w:kern w:val="0"/>
          <w:sz w:val="32"/>
          <w:szCs w:val="32"/>
        </w:rPr>
      </w:pPr>
      <w:r>
        <w:rPr>
          <w:rFonts w:eastAsia="方正仿宋_GBK"/>
          <w:kern w:val="0"/>
          <w:sz w:val="32"/>
          <w:szCs w:val="32"/>
        </w:rPr>
        <w:t>https://www.mfds.go.kr/brd/m_209/view.do?seq=44296&amp;srchFr=&amp;srchTo=&amp;srchWord=&amp;srchTp=&amp;itm_seq_1=0&amp;itm_seq_2=0&amp;multi_itm_seq=0&amp;company_cd=&amp;company_nm=&amp;page=1</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7" w:name="_Toc239868497"/>
      <w:r>
        <w:rPr>
          <w:rFonts w:ascii="方正楷体_GBK" w:eastAsia="方正楷体_GBK" w:cs="宋体" w:hint="eastAsia"/>
          <w:bCs w:val="0"/>
          <w:kern w:val="0"/>
          <w:sz w:val="32"/>
          <w:szCs w:val="32"/>
        </w:rPr>
        <w:t>韩国将实施中秋节前夕节令食品联合检查。</w:t>
      </w:r>
      <w:bookmarkEnd w:id="196"/>
      <w:bookmarkEnd w:id="207"/>
    </w:p>
    <w:p>
      <w:pPr>
        <w:overflowPunct w:val="0"/>
        <w:ind w:firstLineChars="200" w:firstLine="624"/>
        <w:rPr>
          <w:rFonts w:eastAsia="方正仿宋_GBK"/>
          <w:kern w:val="0"/>
          <w:sz w:val="32"/>
          <w:szCs w:val="32"/>
        </w:rPr>
      </w:pPr>
      <w:r>
        <w:rPr>
          <w:rFonts w:eastAsia="方正仿宋_GBK" w:hint="eastAsia"/>
          <w:kern w:val="0"/>
          <w:sz w:val="32"/>
          <w:szCs w:val="32"/>
        </w:rPr>
        <w:t>2026年8月31日，韩国食药部（MFDS）发布通知，将实施中秋节前夕节令食品联合检查，主要内容如下：（1）检查时间：2026.08.31-09.04；（2）检查对象：中秋节期间礼品、祭祀用消费量较大的年糕、饺子、清酒、农水产品、畜产品（包装肉·食用肉、牛骨汤、火腿礼品套装等）、健康功能食品（红参等）的生产、销售企业，以及制作销售祭祀用食品的餐饮服务企业等；（3）进口阶段检测：将加强进口食品通关阶段的安全性检测。主要包括进口的果蔬加工品（水煮蕨菜等）、植物油脂类（大豆油、香油、苏子油等）、鱼糜等加工食品（15个品类）、蕨菜、桔梗、牛肉、明太鱼、小黄鱼等农、畜、水产品（12个品类）；单一·复合营养素产品、益生菌等健康功能食品6个品类，实施重金属、动物用药品、残留农药等精密检测；（4）加强对线上销售监控，包括可能被误认为对疾病预防、治疗有效果的广告、可能混淆或误认为医药品或健康功能食品的广告，虚假、夸大或欺骗消费者的广告等。对于检查中发现违规的企业，将依据相关法规采取行政处分等措施，不合格产品将迅速回收、销毁，确保不在市面上流通。进口食品则将采取退运或销毁等措施。</w:t>
      </w:r>
    </w:p>
    <w:p>
      <w:pPr>
        <w:overflowPunct w:val="0"/>
        <w:ind w:firstLineChars="200" w:firstLine="624"/>
        <w:rPr>
          <w:rFonts w:eastAsia="方正仿宋_GBK"/>
          <w:kern w:val="0"/>
          <w:sz w:val="32"/>
          <w:szCs w:val="32"/>
        </w:rPr>
      </w:pPr>
      <w:r>
        <w:rPr>
          <w:rFonts w:eastAsia="方正仿宋_GBK"/>
          <w:kern w:val="0"/>
          <w:sz w:val="32"/>
          <w:szCs w:val="32"/>
        </w:rPr>
        <w:t>https://www.mfds.go.kr/brd/m_99/view.do?seq=50307&amp;srchFr=&amp;srchTo=&amp;srchWord=&amp;srchTp=&amp;itm_seq_1=0&amp;itm_seq_2=0&amp;multi_itm_seq=0&amp;company_cd=&amp;company_nm=&amp;page=1</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8" w:name="_Toc239868498"/>
      <w:r>
        <w:rPr>
          <w:rFonts w:ascii="方正楷体_GBK" w:eastAsia="方正楷体_GBK" w:cs="宋体" w:hint="eastAsia"/>
          <w:bCs w:val="0"/>
          <w:kern w:val="0"/>
          <w:sz w:val="32"/>
          <w:szCs w:val="32"/>
        </w:rPr>
        <w:t>韩国发布白菜中甲醛的检测方法。</w:t>
      </w:r>
      <w:bookmarkEnd w:id="192"/>
      <w:bookmarkEnd w:id="208"/>
    </w:p>
    <w:p>
      <w:pPr>
        <w:overflowPunct w:val="0"/>
        <w:ind w:firstLineChars="200" w:firstLine="624"/>
        <w:rPr>
          <w:rFonts w:eastAsia="方正仿宋_GBK"/>
          <w:kern w:val="0"/>
          <w:sz w:val="32"/>
          <w:szCs w:val="32"/>
        </w:rPr>
      </w:pPr>
      <w:r>
        <w:rPr>
          <w:rFonts w:eastAsia="方正仿宋_GBK" w:hint="eastAsia"/>
          <w:kern w:val="0"/>
          <w:sz w:val="32"/>
          <w:szCs w:val="32"/>
        </w:rPr>
        <w:t>2026年8月24日，韩国食药部（MFDS）发布发布白菜中甲醛的检测方法，自发布之日实施。主要内容如下：（1）该方法适用于大白菜、泡菜等食品；（2）原理。将样品进行蒸汽蒸馏，收集馏出液，其中的甲醛与乙酰丙酮和铵离子反应生成黄色衍生物，然后用分光光度计或液相色谱仪进行分析。</w:t>
      </w:r>
    </w:p>
    <w:p>
      <w:pPr>
        <w:overflowPunct w:val="0"/>
        <w:ind w:firstLineChars="200" w:firstLine="624"/>
        <w:rPr>
          <w:rFonts w:eastAsia="方正仿宋_GBK"/>
          <w:kern w:val="0"/>
          <w:sz w:val="32"/>
          <w:szCs w:val="32"/>
        </w:rPr>
      </w:pPr>
      <w:r>
        <w:rPr>
          <w:rFonts w:eastAsia="方正仿宋_GBK"/>
          <w:kern w:val="0"/>
          <w:sz w:val="32"/>
          <w:szCs w:val="32"/>
        </w:rPr>
        <w:t>https://www.mfds.go.kr/brd/m_514/view.do?seq=42643&amp;srchFr=&amp;srchTo=&amp;srchWord=&amp;srchTp=&amp;itm_seq_1=0&amp;itm_seq_2=0&amp;multi_itm_seq=0&amp;company_cd=&amp;company_nm=&amp;page=1</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9" w:name="_Toc238774568"/>
      <w:bookmarkStart w:id="210" w:name="_Toc239868499"/>
      <w:r>
        <w:rPr>
          <w:rFonts w:ascii="方正楷体_GBK" w:eastAsia="方正楷体_GBK" w:cs="宋体" w:hint="eastAsia"/>
          <w:bCs w:val="0"/>
          <w:kern w:val="0"/>
          <w:sz w:val="32"/>
          <w:szCs w:val="32"/>
        </w:rPr>
        <w:t>韩国发布转基因食品标签标准修订草案。</w:t>
      </w:r>
      <w:bookmarkEnd w:id="209"/>
      <w:bookmarkEnd w:id="210"/>
    </w:p>
    <w:p>
      <w:pPr>
        <w:overflowPunct w:val="0"/>
        <w:ind w:firstLineChars="200" w:firstLine="624"/>
        <w:rPr>
          <w:rFonts w:eastAsia="方正仿宋_GBK"/>
          <w:kern w:val="0"/>
          <w:sz w:val="32"/>
          <w:szCs w:val="32"/>
        </w:rPr>
      </w:pPr>
      <w:r>
        <w:rPr>
          <w:rFonts w:eastAsia="方正仿宋_GBK" w:hint="eastAsia"/>
          <w:kern w:val="0"/>
          <w:sz w:val="32"/>
          <w:szCs w:val="32"/>
        </w:rPr>
        <w:t>2026年8月25日，农业农村部网站消息，2026年8月5日，韩国食品药品安全部（MFDS）发布《转基因食品标签标准》修订草案，拟将糖类及食用油脂类产品强制转基因标识的实施日期由2027年12月31日提前至2026年12月31日。此前，MFDS于2026年7月8日修订该标准，将酱油、糖类和食用油脂等食品纳入强制转基因标识范围，并规定相关要求自2026年12月31日起施行，其中糖类和食用油脂类产品的强制标识要求原定自2027年12月31日起实施。此次修订草案拟将上述两类产品的实施日期提前一年，使其与其他新增强制标识对象同步于2026年12月31日起实施，以更快保障消费者的知情权和选择权。</w:t>
      </w:r>
    </w:p>
    <w:p>
      <w:pPr>
        <w:overflowPunct w:val="0"/>
        <w:ind w:firstLineChars="200" w:firstLine="624"/>
        <w:rPr>
          <w:rFonts w:eastAsia="方正仿宋_GBK"/>
          <w:kern w:val="0"/>
          <w:sz w:val="32"/>
          <w:szCs w:val="32"/>
        </w:rPr>
      </w:pPr>
      <w:r>
        <w:rPr>
          <w:rFonts w:eastAsia="方正仿宋_GBK"/>
          <w:kern w:val="0"/>
          <w:sz w:val="32"/>
          <w:szCs w:val="32"/>
        </w:rPr>
        <w:t>https://www.moa.gov.cn/ztzl/zjyqwgz/ckzl/202608/t20260825_6486951.htm</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1" w:name="_Toc239327063"/>
      <w:bookmarkStart w:id="212" w:name="_Toc239807845"/>
      <w:bookmarkStart w:id="213" w:name="_Toc239868500"/>
      <w:bookmarkStart w:id="214" w:name="_Toc238774569"/>
      <w:r>
        <w:rPr>
          <w:rFonts w:ascii="方正楷体_GBK" w:eastAsia="方正楷体_GBK" w:cs="宋体" w:hint="eastAsia"/>
          <w:bCs w:val="0"/>
          <w:kern w:val="0"/>
          <w:sz w:val="32"/>
          <w:szCs w:val="32"/>
        </w:rPr>
        <w:t>泰国发布动物和植物油脂碘值测定的新版工业标准。</w:t>
      </w:r>
      <w:bookmarkEnd w:id="211"/>
      <w:bookmarkEnd w:id="212"/>
      <w:bookmarkEnd w:id="213"/>
    </w:p>
    <w:p>
      <w:pPr>
        <w:overflowPunct w:val="0"/>
        <w:ind w:firstLineChars="200" w:firstLine="624"/>
        <w:rPr>
          <w:rFonts w:eastAsia="方正仿宋_GBK"/>
          <w:kern w:val="0"/>
          <w:sz w:val="32"/>
          <w:szCs w:val="32"/>
        </w:rPr>
      </w:pPr>
      <w:r>
        <w:rPr>
          <w:rFonts w:eastAsia="方正仿宋_GBK" w:hint="eastAsia"/>
          <w:kern w:val="0"/>
          <w:sz w:val="32"/>
          <w:szCs w:val="32"/>
        </w:rPr>
        <w:t>2026年9月1日，泰国《皇家公报》公布泰国工业部《关于制定动物和植物油脂—碘值测定（</w:t>
      </w:r>
      <w:r>
        <w:rPr>
          <w:rFonts w:ascii="Leelawadee UI" w:eastAsia="方正仿宋_GBK" w:cs="Leelawadee UI" w:hAnsi="Leelawadee UI"/>
          <w:kern w:val="0"/>
          <w:sz w:val="32"/>
          <w:szCs w:val="32"/>
        </w:rPr>
        <w:t>ไขมันและน้ำมันจากสัตว์และพืช</w:t>
      </w:r>
      <w:r>
        <w:rPr>
          <w:rFonts w:eastAsia="方正仿宋_GBK" w:hint="eastAsia"/>
          <w:kern w:val="0"/>
          <w:sz w:val="32"/>
          <w:szCs w:val="32"/>
        </w:rPr>
        <w:t>-</w:t>
      </w:r>
      <w:r>
        <w:rPr>
          <w:rFonts w:ascii="Leelawadee UI" w:eastAsia="方正仿宋_GBK" w:cs="Leelawadee UI" w:hAnsi="Leelawadee UI"/>
          <w:kern w:val="0"/>
          <w:sz w:val="32"/>
          <w:szCs w:val="32"/>
        </w:rPr>
        <w:t>การหาค่าไอโอดีน</w:t>
      </w:r>
      <w:r>
        <w:rPr>
          <w:rFonts w:eastAsia="方正仿宋_GBK" w:hint="eastAsia"/>
          <w:kern w:val="0"/>
          <w:sz w:val="32"/>
          <w:szCs w:val="32"/>
        </w:rPr>
        <w:t>）工业产品标准》公告，自发布之日起120日后生效。该标准是对原有《油脂碘值测定》标准（TIS 3138系列旧版，如TIS 3138-2564）的修订换版。主要内容如下：（1）等同采用国际标准ISO 3961:2024《动物和植物油脂—碘值的测定》，以英文版为准，作为该领域的参考（仲裁）测定方法；（2）标准正文要求按ISO 3961:2024执行，共15页；（3）附录B规定可依据脂肪酸组成数据计算碘值的替代方法，但该方法不适用于鱼油；冷压植物油、毛油/未精炼植物油以及经（部分）氢化处理的油脂，两种方法所得结果可能不同，且由计算得到的碘值会受杂质及热分解产物影响；（4）过渡安排：废止并取代旧版TIS3138标准及相关旧公告。</w:t>
      </w:r>
    </w:p>
    <w:p>
      <w:pPr>
        <w:overflowPunct w:val="0"/>
        <w:ind w:firstLineChars="200" w:firstLine="624"/>
        <w:rPr>
          <w:rFonts w:eastAsia="方正仿宋_GBK"/>
          <w:kern w:val="0"/>
          <w:sz w:val="32"/>
          <w:szCs w:val="32"/>
        </w:rPr>
      </w:pPr>
      <w:r>
        <w:rPr>
          <w:rFonts w:eastAsia="方正仿宋_GBK"/>
          <w:kern w:val="0"/>
          <w:sz w:val="32"/>
          <w:szCs w:val="32"/>
        </w:rPr>
        <w:t>https://ratchakitcha.soc.go.th/documents/126611.pdf</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5" w:name="_Toc239327064"/>
      <w:bookmarkStart w:id="216" w:name="_Toc239807846"/>
      <w:bookmarkStart w:id="217" w:name="_Toc239868501"/>
      <w:r>
        <w:rPr>
          <w:rFonts w:ascii="方正楷体_GBK" w:eastAsia="方正楷体_GBK" w:cs="宋体" w:hint="eastAsia"/>
          <w:bCs w:val="0"/>
          <w:kern w:val="0"/>
          <w:sz w:val="32"/>
          <w:szCs w:val="32"/>
        </w:rPr>
        <w:t>泰国发布即食辣椒酱新版工业标准。</w:t>
      </w:r>
      <w:bookmarkEnd w:id="215"/>
      <w:bookmarkEnd w:id="216"/>
      <w:bookmarkEnd w:id="217"/>
    </w:p>
    <w:p>
      <w:pPr>
        <w:overflowPunct w:val="0"/>
        <w:ind w:firstLineChars="200" w:firstLine="624"/>
        <w:rPr>
          <w:rFonts w:eastAsia="方正仿宋_GBK"/>
          <w:kern w:val="0"/>
          <w:sz w:val="32"/>
          <w:szCs w:val="32"/>
        </w:rPr>
      </w:pPr>
      <w:r>
        <w:rPr>
          <w:rFonts w:eastAsia="方正仿宋_GBK" w:hint="eastAsia"/>
          <w:kern w:val="0"/>
          <w:sz w:val="32"/>
          <w:szCs w:val="32"/>
        </w:rPr>
        <w:t>2026年9月1日，泰国《皇家公报》公布泰国工业部《关于制定即食辣椒酱（</w:t>
      </w:r>
      <w:r>
        <w:rPr>
          <w:rFonts w:ascii="Leelawadee UI" w:eastAsia="方正仿宋_GBK" w:cs="Leelawadee UI" w:hAnsi="Leelawadee UI"/>
          <w:kern w:val="0"/>
          <w:sz w:val="32"/>
          <w:szCs w:val="32"/>
        </w:rPr>
        <w:t>น้ำพริกพร้อมบริโภค</w:t>
      </w:r>
      <w:r>
        <w:rPr>
          <w:rFonts w:eastAsia="方正仿宋_GBK" w:hint="eastAsia"/>
          <w:kern w:val="0"/>
          <w:sz w:val="32"/>
          <w:szCs w:val="32"/>
        </w:rPr>
        <w:t>）工业产品标准》公告，自发布之日起120日后生效。该标准是对原《辣椒酱工业标准TIS1176-2536》的修订换版。主要内容如下：（1）适用范围：适用于即食型辣椒酱（呈半固半液、浓稠或液体状态并以容器包装者），不适用于按TIS 429规定的“</w:t>
      </w:r>
      <w:r>
        <w:rPr>
          <w:rFonts w:eastAsia="方正仿宋_GBK"/>
          <w:kern w:val="0"/>
          <w:sz w:val="32"/>
          <w:szCs w:val="32"/>
        </w:rPr>
        <w:t>煮（咖喱）辣椒酱（</w:t>
      </w:r>
      <w:r>
        <w:rPr>
          <w:rFonts w:ascii="Leelawadee UI" w:eastAsia="方正仿宋_GBK" w:cs="Leelawadee UI" w:hAnsi="Leelawadee UI"/>
          <w:kern w:val="0"/>
          <w:sz w:val="32"/>
          <w:szCs w:val="32"/>
        </w:rPr>
        <w:t>น้ำพริกแกง</w:t>
      </w:r>
      <w:r>
        <w:rPr>
          <w:rFonts w:eastAsia="方正仿宋_GBK"/>
          <w:kern w:val="0"/>
          <w:sz w:val="32"/>
          <w:szCs w:val="32"/>
        </w:rPr>
        <w:t>）</w:t>
      </w:r>
      <w:r>
        <w:rPr>
          <w:rFonts w:eastAsia="方正仿宋_GBK" w:hint="eastAsia"/>
          <w:kern w:val="0"/>
          <w:sz w:val="32"/>
          <w:szCs w:val="32"/>
        </w:rPr>
        <w:t>”及按TIS 1152规定的“烤辣椒酱（</w:t>
      </w:r>
      <w:r>
        <w:rPr>
          <w:rFonts w:ascii="Leelawadee UI" w:eastAsia="方正仿宋_GBK" w:cs="Leelawadee UI" w:hAnsi="Leelawadee UI"/>
          <w:kern w:val="0"/>
          <w:sz w:val="32"/>
          <w:szCs w:val="32"/>
        </w:rPr>
        <w:t>น้ำพริกเผา</w:t>
      </w:r>
      <w:r>
        <w:rPr>
          <w:rFonts w:eastAsia="方正仿宋_GBK" w:hint="eastAsia"/>
          <w:kern w:val="0"/>
          <w:sz w:val="32"/>
          <w:szCs w:val="32"/>
        </w:rPr>
        <w:t>）”；（2）标准内容涵盖范围、定义、品种分类、质量特性要求、食品添加剂、污染物、卫生、包装、标志与标签、抽样与判定、检验方法及附录A，标准文本共8页，由泰国工业标准协会（TISI）编制；（3）过渡安排：废止原TIS 1176-2536标准</w:t>
      </w:r>
      <w:r>
        <w:rPr>
          <w:rFonts w:eastAsia="方正仿宋_GBK"/>
          <w:kern w:val="0"/>
          <w:sz w:val="32"/>
          <w:szCs w:val="32"/>
        </w:rPr>
        <w:t>（原工业部第1515号公告，1989年8月23日发布）</w:t>
      </w:r>
      <w:r>
        <w:rPr>
          <w:rFonts w:eastAsia="方正仿宋_GBK" w:hint="eastAsia"/>
          <w:kern w:val="0"/>
          <w:sz w:val="32"/>
          <w:szCs w:val="32"/>
        </w:rPr>
        <w:t>，改按新标准执行。</w:t>
      </w:r>
    </w:p>
    <w:p>
      <w:pPr>
        <w:overflowPunct w:val="0"/>
        <w:ind w:firstLineChars="200" w:firstLine="624"/>
        <w:rPr>
          <w:rFonts w:eastAsia="方正仿宋_GBK"/>
          <w:kern w:val="0"/>
          <w:sz w:val="32"/>
          <w:szCs w:val="32"/>
        </w:rPr>
      </w:pPr>
      <w:r>
        <w:rPr>
          <w:rFonts w:eastAsia="方正仿宋_GBK"/>
          <w:kern w:val="0"/>
          <w:sz w:val="32"/>
          <w:szCs w:val="32"/>
        </w:rPr>
        <w:t>https://ratchakitcha.soc.go.th/documents/126604.pdf</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8" w:name="_Toc239868502"/>
      <w:r>
        <w:rPr>
          <w:rFonts w:ascii="方正楷体_GBK" w:eastAsia="方正楷体_GBK" w:cs="宋体"/>
          <w:bCs w:val="0"/>
          <w:kern w:val="0"/>
          <w:sz w:val="32"/>
          <w:szCs w:val="32"/>
        </w:rPr>
        <w:t>泰国发布草本茶新规</w:t>
      </w:r>
      <w:r>
        <w:rPr>
          <w:rFonts w:ascii="方正楷体_GBK" w:eastAsia="方正楷体_GBK" w:cs="宋体" w:hint="eastAsia"/>
          <w:bCs w:val="0"/>
          <w:kern w:val="0"/>
          <w:sz w:val="32"/>
          <w:szCs w:val="32"/>
        </w:rPr>
        <w:t>。</w:t>
      </w:r>
      <w:bookmarkEnd w:id="214"/>
      <w:bookmarkEnd w:id="218"/>
    </w:p>
    <w:p>
      <w:pPr>
        <w:overflowPunct w:val="0"/>
        <w:ind w:firstLineChars="200" w:firstLine="624"/>
        <w:rPr>
          <w:rFonts w:eastAsia="方正仿宋_GBK"/>
          <w:kern w:val="0"/>
          <w:sz w:val="32"/>
          <w:szCs w:val="32"/>
        </w:rPr>
      </w:pPr>
      <w:r>
        <w:rPr>
          <w:rFonts w:eastAsia="方正仿宋_GBK" w:hint="eastAsia"/>
          <w:kern w:val="0"/>
          <w:sz w:val="32"/>
          <w:szCs w:val="32"/>
        </w:rPr>
        <w:t>2026年8月25日，</w:t>
      </w:r>
      <w:r>
        <w:rPr>
          <w:rFonts w:eastAsia="方正仿宋_GBK"/>
          <w:kern w:val="0"/>
          <w:sz w:val="32"/>
          <w:szCs w:val="32"/>
        </w:rPr>
        <w:t>泰国公共卫生部发布第471号公告，对</w:t>
      </w:r>
      <w:r>
        <w:rPr>
          <w:rFonts w:eastAsia="方正仿宋_GBK" w:hint="eastAsia"/>
          <w:kern w:val="0"/>
          <w:sz w:val="32"/>
          <w:szCs w:val="32"/>
        </w:rPr>
        <w:t>“</w:t>
      </w:r>
      <w:r>
        <w:rPr>
          <w:rFonts w:eastAsia="方正仿宋_GBK"/>
          <w:kern w:val="0"/>
          <w:sz w:val="32"/>
          <w:szCs w:val="32"/>
        </w:rPr>
        <w:t>草本茶</w:t>
      </w:r>
      <w:r>
        <w:rPr>
          <w:rFonts w:eastAsia="方正仿宋_GBK" w:hint="eastAsia"/>
          <w:kern w:val="0"/>
          <w:sz w:val="32"/>
          <w:szCs w:val="32"/>
        </w:rPr>
        <w:t>”</w:t>
      </w:r>
      <w:r>
        <w:rPr>
          <w:rFonts w:eastAsia="方正仿宋_GBK"/>
          <w:kern w:val="0"/>
          <w:sz w:val="32"/>
          <w:szCs w:val="32"/>
        </w:rPr>
        <w:t>的定义及原料清单进行修订。该公告于2026年8月19日在《皇家公报》公布，2026年8月20日起正式生效。</w:t>
      </w:r>
      <w:r>
        <w:rPr>
          <w:rFonts w:eastAsia="方正仿宋_GBK" w:hint="eastAsia"/>
          <w:kern w:val="0"/>
          <w:sz w:val="32"/>
          <w:szCs w:val="32"/>
        </w:rPr>
        <w:t>主要内容如下：（1）</w:t>
      </w:r>
      <w:r>
        <w:rPr>
          <w:rFonts w:eastAsia="方正仿宋_GBK"/>
          <w:kern w:val="0"/>
          <w:sz w:val="32"/>
          <w:szCs w:val="32"/>
        </w:rPr>
        <w:t>原料清单大幅扩容：在原有草本茶原料清单中新增99种植物、蘑菇及其使用部位，序号为第202至第300项，涵盖猕猴桃、韭菜、海葡萄、多种藻类、柑橘类、坚果、谷物及食用菌等</w:t>
      </w:r>
      <w:r>
        <w:rPr>
          <w:rFonts w:eastAsia="方正仿宋_GBK" w:hint="eastAsia"/>
          <w:kern w:val="0"/>
          <w:sz w:val="32"/>
          <w:szCs w:val="32"/>
        </w:rPr>
        <w:t>；（2）</w:t>
      </w:r>
      <w:r>
        <w:rPr>
          <w:rFonts w:eastAsia="方正仿宋_GBK"/>
          <w:kern w:val="0"/>
          <w:sz w:val="32"/>
          <w:szCs w:val="32"/>
        </w:rPr>
        <w:t>因甘草中的甘草酸可能影响肾功能、引发高血压或低血钾症，正式将第92号</w:t>
      </w:r>
      <w:r>
        <w:rPr>
          <w:rFonts w:eastAsia="方正仿宋_GBK" w:hint="eastAsia"/>
          <w:kern w:val="0"/>
          <w:sz w:val="32"/>
          <w:szCs w:val="32"/>
        </w:rPr>
        <w:t>“</w:t>
      </w:r>
      <w:r>
        <w:rPr>
          <w:rFonts w:eastAsia="方正仿宋_GBK"/>
          <w:kern w:val="0"/>
          <w:sz w:val="32"/>
          <w:szCs w:val="32"/>
        </w:rPr>
        <w:t>甘草</w:t>
      </w:r>
      <w:r>
        <w:rPr>
          <w:rFonts w:eastAsia="方正仿宋_GBK" w:hint="eastAsia"/>
          <w:kern w:val="0"/>
          <w:sz w:val="32"/>
          <w:szCs w:val="32"/>
        </w:rPr>
        <w:t>”</w:t>
      </w:r>
      <w:r>
        <w:rPr>
          <w:rFonts w:eastAsia="方正仿宋_GBK"/>
          <w:kern w:val="0"/>
          <w:sz w:val="32"/>
          <w:szCs w:val="32"/>
        </w:rPr>
        <w:t>从原料清单中删除</w:t>
      </w:r>
      <w:r>
        <w:rPr>
          <w:rFonts w:eastAsia="方正仿宋_GBK" w:hint="eastAsia"/>
          <w:kern w:val="0"/>
          <w:sz w:val="32"/>
          <w:szCs w:val="32"/>
        </w:rPr>
        <w:t>；（3）</w:t>
      </w:r>
      <w:r>
        <w:rPr>
          <w:rFonts w:eastAsia="方正仿宋_GBK"/>
          <w:kern w:val="0"/>
          <w:sz w:val="32"/>
          <w:szCs w:val="32"/>
        </w:rPr>
        <w:t>已获许可的含甘草草本茶产品，可继续销售不超过1年（至2027年8月19日）。企业也可在此期间申请将产品类别从</w:t>
      </w:r>
      <w:r>
        <w:rPr>
          <w:rFonts w:eastAsia="方正仿宋_GBK" w:hint="eastAsia"/>
          <w:kern w:val="0"/>
          <w:sz w:val="32"/>
          <w:szCs w:val="32"/>
        </w:rPr>
        <w:t>“</w:t>
      </w:r>
      <w:r>
        <w:rPr>
          <w:rFonts w:eastAsia="方正仿宋_GBK"/>
          <w:kern w:val="0"/>
          <w:sz w:val="32"/>
          <w:szCs w:val="32"/>
        </w:rPr>
        <w:t>草本茶</w:t>
      </w:r>
      <w:r>
        <w:rPr>
          <w:rFonts w:eastAsia="方正仿宋_GBK" w:hint="eastAsia"/>
          <w:kern w:val="0"/>
          <w:sz w:val="32"/>
          <w:szCs w:val="32"/>
        </w:rPr>
        <w:t>”</w:t>
      </w:r>
      <w:r>
        <w:rPr>
          <w:rFonts w:eastAsia="方正仿宋_GBK"/>
          <w:kern w:val="0"/>
          <w:sz w:val="32"/>
          <w:szCs w:val="32"/>
        </w:rPr>
        <w:t>变更为</w:t>
      </w:r>
      <w:r>
        <w:rPr>
          <w:rFonts w:eastAsia="方正仿宋_GBK" w:hint="eastAsia"/>
          <w:kern w:val="0"/>
          <w:sz w:val="32"/>
          <w:szCs w:val="32"/>
        </w:rPr>
        <w:t>“</w:t>
      </w:r>
      <w:r>
        <w:rPr>
          <w:rFonts w:eastAsia="方正仿宋_GBK"/>
          <w:kern w:val="0"/>
          <w:sz w:val="32"/>
          <w:szCs w:val="32"/>
        </w:rPr>
        <w:t>饮料</w:t>
      </w:r>
      <w:r>
        <w:rPr>
          <w:rFonts w:eastAsia="方正仿宋_GBK" w:hint="eastAsia"/>
          <w:kern w:val="0"/>
          <w:sz w:val="32"/>
          <w:szCs w:val="32"/>
        </w:rPr>
        <w:t>”</w:t>
      </w:r>
      <w:r>
        <w:rPr>
          <w:rFonts w:eastAsia="方正仿宋_GBK"/>
          <w:kern w:val="0"/>
          <w:sz w:val="32"/>
          <w:szCs w:val="32"/>
        </w:rPr>
        <w:t>。</w:t>
      </w:r>
    </w:p>
    <w:p>
      <w:pPr>
        <w:overflowPunct w:val="0"/>
        <w:ind w:firstLineChars="200" w:firstLine="624"/>
        <w:rPr>
          <w:rFonts w:eastAsia="方正仿宋_GBK"/>
          <w:kern w:val="0"/>
          <w:sz w:val="32"/>
          <w:szCs w:val="32"/>
        </w:rPr>
      </w:pPr>
      <w:r>
        <w:rPr>
          <w:rFonts w:eastAsia="方正仿宋_GBK"/>
          <w:kern w:val="0"/>
          <w:sz w:val="32"/>
          <w:szCs w:val="32"/>
        </w:rPr>
        <w:t>https://food.fda.moph.go.th/press-release/law-471</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9" w:name="_Toc239327065"/>
      <w:bookmarkStart w:id="220" w:name="_Toc239807847"/>
      <w:bookmarkStart w:id="221" w:name="_Toc239868503"/>
      <w:bookmarkStart w:id="222" w:name="_Toc238774570"/>
      <w:r>
        <w:rPr>
          <w:rFonts w:ascii="方正楷体_GBK" w:eastAsia="方正楷体_GBK" w:cs="宋体" w:hint="eastAsia"/>
          <w:bCs w:val="0"/>
          <w:kern w:val="0"/>
          <w:sz w:val="32"/>
          <w:szCs w:val="32"/>
        </w:rPr>
        <w:t>文莱食品局全面接管食品安全监管职能。</w:t>
      </w:r>
      <w:bookmarkEnd w:id="219"/>
      <w:bookmarkEnd w:id="220"/>
      <w:bookmarkEnd w:id="221"/>
    </w:p>
    <w:p>
      <w:pPr>
        <w:overflowPunct w:val="0"/>
        <w:ind w:firstLineChars="200" w:firstLine="624"/>
        <w:rPr>
          <w:rFonts w:eastAsia="方正仿宋_GBK"/>
          <w:kern w:val="0"/>
          <w:sz w:val="32"/>
          <w:szCs w:val="32"/>
        </w:rPr>
      </w:pPr>
      <w:r>
        <w:rPr>
          <w:rFonts w:eastAsia="方正仿宋_GBK" w:hint="eastAsia"/>
          <w:kern w:val="0"/>
          <w:sz w:val="32"/>
          <w:szCs w:val="32"/>
        </w:rPr>
        <w:t>2026年</w:t>
      </w:r>
      <w:r>
        <w:rPr>
          <w:rFonts w:eastAsia="方正仿宋_GBK"/>
          <w:kern w:val="0"/>
          <w:sz w:val="32"/>
          <w:szCs w:val="32"/>
        </w:rPr>
        <w:t>8月28日</w:t>
      </w:r>
      <w:r>
        <w:rPr>
          <w:rFonts w:eastAsia="方正仿宋_GBK" w:hint="eastAsia"/>
          <w:kern w:val="0"/>
          <w:sz w:val="32"/>
          <w:szCs w:val="32"/>
        </w:rPr>
        <w:t>，</w:t>
      </w:r>
      <w:r>
        <w:rPr>
          <w:rFonts w:eastAsia="方正仿宋_GBK"/>
          <w:kern w:val="0"/>
          <w:sz w:val="32"/>
          <w:szCs w:val="32"/>
        </w:rPr>
        <w:t>商务部网站</w:t>
      </w:r>
      <w:r>
        <w:rPr>
          <w:rFonts w:eastAsia="方正仿宋_GBK" w:hint="eastAsia"/>
          <w:kern w:val="0"/>
          <w:sz w:val="32"/>
          <w:szCs w:val="32"/>
        </w:rPr>
        <w:t>据</w:t>
      </w:r>
      <w:r>
        <w:rPr>
          <w:rFonts w:eastAsia="方正仿宋_GBK"/>
          <w:kern w:val="0"/>
          <w:sz w:val="32"/>
          <w:szCs w:val="32"/>
        </w:rPr>
        <w:t>文莱《婆罗洲公报》6月29日报道，文莱食品局（BDFA）自7月1日起正式接管原由卫生部负责的都东、淡布隆两区食品安全服务职能。这标志着全国食品安全监管职责已全面从卫生部移交完毕，将推动建立更加协调统一的食品安全管理体系，更好保障公众食品安全与食品质量。</w:t>
      </w:r>
    </w:p>
    <w:p>
      <w:pPr>
        <w:overflowPunct w:val="0"/>
        <w:ind w:firstLineChars="200" w:firstLine="624"/>
        <w:rPr>
          <w:rFonts w:eastAsia="方正仿宋_GBK"/>
          <w:kern w:val="0"/>
          <w:sz w:val="32"/>
          <w:szCs w:val="32"/>
        </w:rPr>
      </w:pPr>
      <w:r>
        <w:rPr>
          <w:rFonts w:eastAsia="方正仿宋_GBK"/>
          <w:kern w:val="0"/>
          <w:sz w:val="32"/>
          <w:szCs w:val="32"/>
        </w:rPr>
        <w:t>根据BDFA发布的声明，接管完成后，该局将负责上述两区的食品安全卫生检查、抽样检测、执法监督、投诉调查及政策咨询等工作。此外，BDFA还将开展食品从业人员培训，加强食品安全宣传教育，并与相关政府部门及行业机构密切合作，共同推广安全食品生产与经营规范。</w:t>
      </w:r>
    </w:p>
    <w:p>
      <w:pPr>
        <w:overflowPunct w:val="0"/>
        <w:ind w:firstLineChars="200" w:firstLine="624"/>
        <w:rPr>
          <w:rFonts w:eastAsia="方正仿宋_GBK"/>
          <w:kern w:val="0"/>
          <w:sz w:val="32"/>
          <w:szCs w:val="32"/>
        </w:rPr>
      </w:pPr>
      <w:r>
        <w:rPr>
          <w:rFonts w:eastAsia="方正仿宋_GBK"/>
          <w:kern w:val="0"/>
          <w:sz w:val="32"/>
          <w:szCs w:val="32"/>
        </w:rPr>
        <w:t>此次职能移交，是继今年4月1日文莱食品局设立马来奕分局、接管原由马来奕卫生局负责的食品安全监管工作后，推出的又一重要举措。</w:t>
      </w:r>
    </w:p>
    <w:p>
      <w:pPr>
        <w:overflowPunct w:val="0"/>
        <w:ind w:firstLineChars="200" w:firstLine="624"/>
        <w:rPr>
          <w:rFonts w:eastAsia="方正仿宋_GBK"/>
          <w:kern w:val="0"/>
          <w:sz w:val="32"/>
          <w:szCs w:val="32"/>
        </w:rPr>
      </w:pPr>
      <w:r>
        <w:rPr>
          <w:rFonts w:eastAsia="方正仿宋_GBK"/>
          <w:kern w:val="0"/>
          <w:sz w:val="32"/>
          <w:szCs w:val="32"/>
        </w:rPr>
        <w:t>https://bn.mofcom.gov.cn/jmxw/art/2026/art_aad7468e1d0244debedee05888dd28a8.html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23" w:name="_Toc239868504"/>
      <w:r>
        <w:rPr>
          <w:rFonts w:ascii="方正楷体_GBK" w:eastAsia="方正楷体_GBK" w:cs="宋体" w:hint="eastAsia"/>
          <w:bCs w:val="0"/>
          <w:kern w:val="0"/>
          <w:sz w:val="32"/>
          <w:szCs w:val="32"/>
        </w:rPr>
        <w:t>阿塞拜疆确定食品标签上标示致敏原的新要求。</w:t>
      </w:r>
      <w:bookmarkEnd w:id="222"/>
      <w:bookmarkEnd w:id="223"/>
    </w:p>
    <w:p>
      <w:pPr>
        <w:overflowPunct w:val="0"/>
        <w:ind w:firstLineChars="200" w:firstLine="624"/>
        <w:rPr>
          <w:rFonts w:eastAsia="方正仿宋_GBK"/>
          <w:kern w:val="0"/>
          <w:sz w:val="32"/>
          <w:szCs w:val="32"/>
        </w:rPr>
      </w:pPr>
      <w:r>
        <w:rPr>
          <w:rFonts w:eastAsia="方正仿宋_GBK" w:hint="eastAsia"/>
          <w:kern w:val="0"/>
          <w:sz w:val="32"/>
          <w:szCs w:val="32"/>
        </w:rPr>
        <w:t>2026年8月24日，阿塞拜疆共和国食品安全局（AQTA）理事会批准发布《引起过敏或不耐受的物质和食品清单》。该清单确定了在食品生产过程中使用并在成品中保留的、可能引起过敏或不耐受的物质和食品。已批准的致敏原清单包括含麸质的谷物、甲壳类动物、鸡蛋、鱼类、花生、大豆、牛奶及乳制品、坚果、芹菜、芥末、芝麻、二氧化硫和亚硫酸盐、苦豆，以及软体动物。根据法律规定，致敏原必须在食品标签上清晰标明。这使消费者在选择产品时能够正确评估其成分，并避免可能对健康造成的风险。食品中存在致敏原可能不仅与主要原料或成分有关。这些物质可能来自产品制备过程中使用的其他成分，也可能来自在生产过程中接触过致敏原的设备和其他设施。因此，从事食品生产和流通的企业主必须准确确定产品中是否存在致敏原，并确保在标签上反映相关信息。相关要求将于2027年1月1日起生效。</w:t>
      </w:r>
    </w:p>
    <w:p>
      <w:pPr>
        <w:overflowPunct w:val="0"/>
        <w:ind w:firstLineChars="200" w:firstLine="624"/>
        <w:rPr>
          <w:rFonts w:eastAsia="方正仿宋_GBK"/>
          <w:kern w:val="0"/>
          <w:sz w:val="32"/>
          <w:szCs w:val="32"/>
        </w:rPr>
      </w:pPr>
      <w:r>
        <w:rPr>
          <w:rFonts w:eastAsia="方正仿宋_GBK"/>
          <w:kern w:val="0"/>
          <w:sz w:val="32"/>
          <w:szCs w:val="32"/>
        </w:rPr>
        <w:t>https://afsa.gov.az/az/xeberler/allergenlerin-qida-mehsullarinin-etiketinde-gosterilmesine-dair-yeni-telebler-mueyyenlesdirilib</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24" w:name="_Toc238774571"/>
      <w:bookmarkStart w:id="225" w:name="_Toc239868505"/>
      <w:r>
        <w:rPr>
          <w:rFonts w:ascii="方正楷体_GBK" w:eastAsia="方正楷体_GBK" w:cs="宋体" w:hint="eastAsia"/>
          <w:bCs w:val="0"/>
          <w:kern w:val="0"/>
          <w:sz w:val="32"/>
          <w:szCs w:val="32"/>
        </w:rPr>
        <w:t>以色列卫生部发布2024年度食品检测报告。</w:t>
      </w:r>
      <w:bookmarkEnd w:id="224"/>
      <w:bookmarkEnd w:id="225"/>
    </w:p>
    <w:p>
      <w:pPr>
        <w:overflowPunct w:val="0"/>
        <w:ind w:firstLineChars="200" w:firstLine="624"/>
        <w:rPr>
          <w:rFonts w:eastAsia="方正仿宋_GBK"/>
          <w:kern w:val="0"/>
          <w:sz w:val="32"/>
          <w:szCs w:val="32"/>
        </w:rPr>
      </w:pPr>
      <w:r>
        <w:rPr>
          <w:rFonts w:eastAsia="方正仿宋_GBK" w:hint="eastAsia"/>
          <w:kern w:val="0"/>
          <w:sz w:val="32"/>
          <w:szCs w:val="32"/>
        </w:rPr>
        <w:t>2026年8月24日，以色列卫生部发布2024年度食品检测报告。主要内容如下：（1）2024年，以色列卫生部环境健康实验室共检测食品样本</w:t>
      </w:r>
      <w:r>
        <w:rPr>
          <w:rFonts w:eastAsia="方正仿宋_GBK"/>
          <w:kern w:val="0"/>
          <w:sz w:val="32"/>
          <w:szCs w:val="32"/>
        </w:rPr>
        <w:t>578</w:t>
      </w:r>
      <w:r>
        <w:rPr>
          <w:rFonts w:eastAsia="方正仿宋_GBK" w:hint="eastAsia"/>
          <w:kern w:val="0"/>
          <w:sz w:val="32"/>
          <w:szCs w:val="32"/>
        </w:rPr>
        <w:t>份，完成微生物检测</w:t>
      </w:r>
      <w:r>
        <w:rPr>
          <w:rFonts w:eastAsia="方正仿宋_GBK"/>
          <w:kern w:val="0"/>
          <w:sz w:val="32"/>
          <w:szCs w:val="32"/>
        </w:rPr>
        <w:t>2280</w:t>
      </w:r>
      <w:r>
        <w:rPr>
          <w:rFonts w:eastAsia="方正仿宋_GBK" w:hint="eastAsia"/>
          <w:kern w:val="0"/>
          <w:sz w:val="32"/>
          <w:szCs w:val="32"/>
        </w:rPr>
        <w:t>项。整体异常率为</w:t>
      </w:r>
      <w:r>
        <w:rPr>
          <w:rFonts w:eastAsia="方正仿宋_GBK"/>
          <w:kern w:val="0"/>
          <w:sz w:val="32"/>
          <w:szCs w:val="32"/>
        </w:rPr>
        <w:t>2.5%</w:t>
      </w:r>
      <w:r>
        <w:rPr>
          <w:rFonts w:eastAsia="方正仿宋_GBK" w:hint="eastAsia"/>
          <w:kern w:val="0"/>
          <w:sz w:val="32"/>
          <w:szCs w:val="32"/>
        </w:rPr>
        <w:t>，共计</w:t>
      </w:r>
      <w:r>
        <w:rPr>
          <w:rFonts w:eastAsia="方正仿宋_GBK"/>
          <w:kern w:val="0"/>
          <w:sz w:val="32"/>
          <w:szCs w:val="32"/>
        </w:rPr>
        <w:t>57</w:t>
      </w:r>
      <w:r>
        <w:rPr>
          <w:rFonts w:eastAsia="方正仿宋_GBK" w:hint="eastAsia"/>
          <w:kern w:val="0"/>
          <w:sz w:val="32"/>
          <w:szCs w:val="32"/>
        </w:rPr>
        <w:t>项检测结果超标；（2）从采样类型看，常规监管样本183份，异常率2%；食物中毒及公众投诉调查样本395份，异常率3%。异常结果中，</w:t>
      </w:r>
      <w:r>
        <w:rPr>
          <w:rFonts w:eastAsia="方正仿宋_GBK"/>
          <w:kern w:val="0"/>
          <w:sz w:val="32"/>
          <w:szCs w:val="32"/>
        </w:rPr>
        <w:t>金黄色葡萄球菌</w:t>
      </w:r>
      <w:r>
        <w:rPr>
          <w:rFonts w:eastAsia="方正仿宋_GBK" w:hint="eastAsia"/>
          <w:kern w:val="0"/>
          <w:sz w:val="32"/>
          <w:szCs w:val="32"/>
        </w:rPr>
        <w:t>占比最高（28%），其次为</w:t>
      </w:r>
      <w:r>
        <w:rPr>
          <w:rFonts w:eastAsia="方正仿宋_GBK"/>
          <w:kern w:val="0"/>
          <w:sz w:val="32"/>
          <w:szCs w:val="32"/>
        </w:rPr>
        <w:t>李斯特菌</w:t>
      </w:r>
      <w:r>
        <w:rPr>
          <w:rFonts w:eastAsia="方正仿宋_GBK" w:hint="eastAsia"/>
          <w:kern w:val="0"/>
          <w:sz w:val="32"/>
          <w:szCs w:val="32"/>
        </w:rPr>
        <w:t>（16%）和</w:t>
      </w:r>
      <w:r>
        <w:rPr>
          <w:rFonts w:eastAsia="方正仿宋_GBK"/>
          <w:kern w:val="0"/>
          <w:sz w:val="32"/>
          <w:szCs w:val="32"/>
        </w:rPr>
        <w:t>沙门氏菌</w:t>
      </w:r>
      <w:r>
        <w:rPr>
          <w:rFonts w:eastAsia="方正仿宋_GBK" w:hint="eastAsia"/>
          <w:kern w:val="0"/>
          <w:sz w:val="32"/>
          <w:szCs w:val="32"/>
        </w:rPr>
        <w:t>（12%）。大肠菌群异常约占10%，蜡样芽孢杆菌占7%。异常食品主要集中在</w:t>
      </w:r>
      <w:r>
        <w:rPr>
          <w:rFonts w:eastAsia="方正仿宋_GBK"/>
          <w:kern w:val="0"/>
          <w:sz w:val="32"/>
          <w:szCs w:val="32"/>
        </w:rPr>
        <w:t>蔬菜沙拉及鹰嘴豆泥/芝麻酱</w:t>
      </w:r>
      <w:r>
        <w:rPr>
          <w:rFonts w:eastAsia="方正仿宋_GBK" w:hint="eastAsia"/>
          <w:kern w:val="0"/>
          <w:sz w:val="32"/>
          <w:szCs w:val="32"/>
        </w:rPr>
        <w:t>（26项异常，含7项李斯特菌）、</w:t>
      </w:r>
      <w:r>
        <w:rPr>
          <w:rFonts w:eastAsia="方正仿宋_GBK"/>
          <w:kern w:val="0"/>
          <w:sz w:val="32"/>
          <w:szCs w:val="32"/>
        </w:rPr>
        <w:t>奶油蛋糕</w:t>
      </w:r>
      <w:r>
        <w:rPr>
          <w:rFonts w:eastAsia="方正仿宋_GBK" w:hint="eastAsia"/>
          <w:kern w:val="0"/>
          <w:sz w:val="32"/>
          <w:szCs w:val="32"/>
        </w:rPr>
        <w:t>（11项异常，含4项沙门氏菌）、熏鱼（5项）及熟食（3项）等类别。典型案例：某糕点店</w:t>
      </w:r>
      <w:r>
        <w:rPr>
          <w:rFonts w:eastAsia="方正仿宋_GBK"/>
          <w:kern w:val="0"/>
          <w:sz w:val="32"/>
          <w:szCs w:val="32"/>
        </w:rPr>
        <w:t>4份奶油蛋糕</w:t>
      </w:r>
      <w:r>
        <w:rPr>
          <w:rFonts w:eastAsia="方正仿宋_GBK" w:hint="eastAsia"/>
          <w:kern w:val="0"/>
          <w:sz w:val="32"/>
          <w:szCs w:val="32"/>
        </w:rPr>
        <w:t>多次检出沙门氏菌，经溯源调查，在</w:t>
      </w:r>
      <w:r>
        <w:rPr>
          <w:rFonts w:eastAsia="方正仿宋_GBK"/>
          <w:kern w:val="0"/>
          <w:sz w:val="32"/>
          <w:szCs w:val="32"/>
        </w:rPr>
        <w:t>巴氏杀菌蛋液</w:t>
      </w:r>
      <w:r>
        <w:rPr>
          <w:rFonts w:eastAsia="方正仿宋_GBK" w:hint="eastAsia"/>
          <w:kern w:val="0"/>
          <w:sz w:val="32"/>
          <w:szCs w:val="32"/>
        </w:rPr>
        <w:t>原料中确认污染源，成功定位问题环节；（3）总结：食品常规监管体系运行有效，异常率维持在低位，但即食食品（蔬菜沙拉、奶油蛋糕等）的病原菌污染风险仍需重点关注。建议加强对即食食品原料（尤其是蛋液、蔬菜）的源头管控与冷链管理。</w:t>
      </w:r>
    </w:p>
    <w:p>
      <w:pPr>
        <w:overflowPunct w:val="0"/>
        <w:ind w:firstLineChars="200" w:firstLine="624"/>
        <w:rPr>
          <w:rFonts w:eastAsia="方正仿宋_GBK"/>
          <w:kern w:val="0"/>
          <w:sz w:val="32"/>
          <w:szCs w:val="32"/>
        </w:rPr>
      </w:pPr>
      <w:r>
        <w:rPr>
          <w:rFonts w:eastAsia="方正仿宋_GBK"/>
          <w:kern w:val="0"/>
          <w:sz w:val="32"/>
          <w:szCs w:val="32"/>
        </w:rPr>
        <w:t>https://www.gov.il/BlobFolder/reports/lab-jer2024/he/files_publications_units_labs_lab-jer-2024.pdf</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26" w:name="_Toc239156180"/>
      <w:bookmarkStart w:id="227" w:name="_Toc239868506"/>
      <w:bookmarkStart w:id="228" w:name="_Toc238774572"/>
      <w:r>
        <w:rPr>
          <w:rFonts w:ascii="方正楷体_GBK" w:eastAsia="方正楷体_GBK" w:cs="宋体" w:hint="eastAsia"/>
          <w:bCs w:val="0"/>
          <w:kern w:val="0"/>
          <w:sz w:val="32"/>
          <w:szCs w:val="32"/>
        </w:rPr>
        <w:t>中国香港公布2026年7月份食物安全报告。</w:t>
      </w:r>
      <w:bookmarkEnd w:id="226"/>
      <w:bookmarkEnd w:id="227"/>
    </w:p>
    <w:p>
      <w:pPr>
        <w:overflowPunct w:val="0"/>
        <w:ind w:firstLineChars="200" w:firstLine="624"/>
        <w:rPr>
          <w:rFonts w:eastAsia="方正仿宋_GBK"/>
          <w:kern w:val="0"/>
          <w:sz w:val="32"/>
          <w:szCs w:val="32"/>
        </w:rPr>
      </w:pPr>
      <w:r>
        <w:rPr>
          <w:rFonts w:eastAsia="方正仿宋_GBK" w:hint="eastAsia"/>
          <w:kern w:val="0"/>
          <w:sz w:val="32"/>
          <w:szCs w:val="32"/>
        </w:rPr>
        <w:t>2026年8月31日，中国香港食环署食安中心公布7月食物安全报告，结果显示在约6200个检测的食物样品中（包括网购食品），除较早前公布的10个样品外，其余样品全部通过检测，整体合格率为99.8%。中心发言人表示，中心对约1900个食物样品作微生物检测和约4300个样品进行化学及辐射水平检测。微生物检测包括致病原及卫生情况指标，化学检测则包括除害剂、防腐剂、金属杂质、染色料及兽药残余等。辐射水平检测包括从不同地区进口的食品中抽取样品测试放射性铯和碘的含量。</w:t>
      </w:r>
    </w:p>
    <w:p>
      <w:pPr>
        <w:overflowPunct w:val="0"/>
        <w:ind w:firstLineChars="200" w:firstLine="624"/>
        <w:rPr>
          <w:rFonts w:eastAsia="方正仿宋_GBK"/>
          <w:kern w:val="0"/>
          <w:sz w:val="32"/>
          <w:szCs w:val="32"/>
        </w:rPr>
      </w:pPr>
      <w:r>
        <w:rPr>
          <w:rFonts w:eastAsia="方正仿宋_GBK" w:hint="eastAsia"/>
          <w:kern w:val="0"/>
          <w:sz w:val="32"/>
          <w:szCs w:val="32"/>
        </w:rPr>
        <w:t>检测样品包括约1700个蔬菜、水果及其制品样品；约400个谷类及谷类制品样品；约800个肉类、家禽及其制品样品；约1200个奶类、奶类制品及冰冻甜点样品；约600个水产及其制品样品；以及约1500百个其他类别的食物样品（包括饮品、烘焙食品及零食）。</w:t>
      </w:r>
    </w:p>
    <w:p>
      <w:pPr>
        <w:overflowPunct w:val="0"/>
        <w:ind w:firstLineChars="200" w:firstLine="624"/>
        <w:rPr>
          <w:rFonts w:eastAsia="方正仿宋_GBK"/>
          <w:kern w:val="0"/>
          <w:sz w:val="32"/>
          <w:szCs w:val="32"/>
        </w:rPr>
      </w:pPr>
      <w:r>
        <w:rPr>
          <w:rFonts w:eastAsia="方正仿宋_GBK" w:hint="eastAsia"/>
          <w:kern w:val="0"/>
          <w:sz w:val="32"/>
          <w:szCs w:val="32"/>
        </w:rPr>
        <w:t>10个不合格样品分别为除害剂残余超出法例标准的2个番茄样品、1个鲜柑橘样品和1个木瓜样品；1个验出微量禁用兽药硝基呋喃类代谢物的泥鯭样品；1个大肠菌群含量超出法例上限的雪糕样品；检出含除害剂环氧乙烷的1个预先包装红辣椒碎样品和1个预先包装牛至样品；1个检出含过量蜡样芽孢杆菌的铁观音巴斯克芝士蛋糕样品；以及1个检出含过量产气荚膜梭状芽孢杆菌的上海炸酱面样品。</w:t>
      </w:r>
    </w:p>
    <w:p>
      <w:pPr>
        <w:overflowPunct w:val="0"/>
        <w:ind w:firstLineChars="200" w:firstLine="624"/>
        <w:rPr>
          <w:rFonts w:eastAsia="方正仿宋_GBK"/>
          <w:kern w:val="0"/>
          <w:sz w:val="32"/>
          <w:szCs w:val="32"/>
        </w:rPr>
      </w:pPr>
      <w:r>
        <w:rPr>
          <w:rFonts w:eastAsia="方正仿宋_GBK"/>
          <w:kern w:val="0"/>
          <w:sz w:val="32"/>
          <w:szCs w:val="32"/>
        </w:rPr>
        <w:t>https://www.cfs.gov.hk/sc_chi/press/20260831_12586.html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29" w:name="_Toc239327066"/>
      <w:bookmarkStart w:id="230" w:name="_Toc239807848"/>
      <w:bookmarkStart w:id="231" w:name="_Toc239868507"/>
      <w:r>
        <w:rPr>
          <w:rFonts w:ascii="方正楷体_GBK" w:eastAsia="方正楷体_GBK" w:cs="宋体" w:hint="eastAsia"/>
          <w:bCs w:val="0"/>
          <w:kern w:val="0"/>
          <w:sz w:val="32"/>
          <w:szCs w:val="32"/>
        </w:rPr>
        <w:t>中国台湾胡麻油苯骈芘超标 283罐流入市面。</w:t>
      </w:r>
      <w:bookmarkEnd w:id="229"/>
      <w:bookmarkEnd w:id="230"/>
      <w:bookmarkEnd w:id="231"/>
    </w:p>
    <w:p>
      <w:pPr>
        <w:overflowPunct w:val="0"/>
        <w:ind w:firstLineChars="200" w:firstLine="624"/>
        <w:rPr>
          <w:rFonts w:eastAsia="方正仿宋_GBK"/>
          <w:kern w:val="0"/>
          <w:sz w:val="32"/>
          <w:szCs w:val="32"/>
        </w:rPr>
      </w:pPr>
      <w:r>
        <w:rPr>
          <w:rFonts w:eastAsia="方正仿宋_GBK" w:hint="eastAsia"/>
          <w:kern w:val="0"/>
          <w:sz w:val="32"/>
          <w:szCs w:val="32"/>
        </w:rPr>
        <w:t>2026年9月1日，中时新闻网消息，中国台湾接连传出不同油品检出致癌物苯骈芘超标，引发食品安全疑虑，中国台湾新北市“卫生局”当天表示，永利油厂自主通报“特级胡麻油”检出苯骈芘2.9μg/kg，超过标准值2.0μg/kg，“卫生局”稽查发现，以问题原料制成的“金葫芦特级胡麻油3L”及“好时来小磨香油3L”共630罐，其中283罐已卖给散客、流入市面，其余347罐均未贩卖并封存，提醒民众若曾购买相关产品，应立即停止食用。</w:t>
      </w:r>
    </w:p>
    <w:p>
      <w:pPr>
        <w:overflowPunct w:val="0"/>
        <w:ind w:firstLineChars="200" w:firstLine="624"/>
        <w:rPr>
          <w:rFonts w:eastAsia="方正仿宋_GBK"/>
          <w:kern w:val="0"/>
          <w:sz w:val="32"/>
          <w:szCs w:val="32"/>
        </w:rPr>
      </w:pPr>
      <w:r>
        <w:rPr>
          <w:rFonts w:eastAsia="方正仿宋_GBK" w:hint="eastAsia"/>
          <w:kern w:val="0"/>
          <w:sz w:val="32"/>
          <w:szCs w:val="32"/>
        </w:rPr>
        <w:t>“卫生局”当天指出，8月29日及31日和中国台湾“食药署”前往永利油厂稽查，查出以问题原料制成的“金葫芦特级胡麻油3L”，有效日期为2028年8月13日，以及“好时来小磨香油3L”，有效日期为2028年8月18日，共生产630罐，其中283罐已售予散客、流入市面，其余347罐未贩卖并予以封存，提醒消费者若曾购买相关产品应立即暂停食用。</w:t>
      </w:r>
    </w:p>
    <w:p>
      <w:pPr>
        <w:overflowPunct w:val="0"/>
        <w:ind w:firstLineChars="200" w:firstLine="624"/>
        <w:rPr>
          <w:rFonts w:eastAsia="方正仿宋_GBK"/>
          <w:kern w:val="0"/>
          <w:sz w:val="32"/>
          <w:szCs w:val="32"/>
        </w:rPr>
      </w:pPr>
      <w:r>
        <w:rPr>
          <w:rFonts w:eastAsia="方正仿宋_GBK" w:hint="eastAsia"/>
          <w:kern w:val="0"/>
          <w:sz w:val="32"/>
          <w:szCs w:val="32"/>
        </w:rPr>
        <w:t>“卫生局”说，该批问题油品是以“福寿100%芝麻油”（EXP：2028/4/19，190KG／桶）及大豆色拉油（散装）混合生产，共859.2公升，已全数拦截并予以封存；另针对本次苯骈芘检出异常，已通知原料油厂所辖“卫生局”厘清。</w:t>
      </w:r>
    </w:p>
    <w:p>
      <w:pPr>
        <w:overflowPunct w:val="0"/>
        <w:ind w:firstLineChars="200" w:firstLine="624"/>
        <w:rPr>
          <w:rFonts w:eastAsia="方正仿宋_GBK"/>
          <w:kern w:val="0"/>
          <w:sz w:val="32"/>
          <w:szCs w:val="32"/>
        </w:rPr>
      </w:pPr>
      <w:r>
        <w:rPr>
          <w:rFonts w:eastAsia="方正仿宋_GBK" w:hint="eastAsia"/>
          <w:kern w:val="0"/>
          <w:sz w:val="32"/>
          <w:szCs w:val="32"/>
        </w:rPr>
        <w:t>“卫生局”呼吁食品业者应实时主动通报疑虑产品，并预防性下架相关产品，以保障消费者食品安全。</w:t>
      </w:r>
    </w:p>
    <w:p>
      <w:pPr>
        <w:overflowPunct w:val="0"/>
        <w:ind w:firstLineChars="200" w:firstLine="624"/>
        <w:rPr>
          <w:rFonts w:eastAsia="方正仿宋_GBK"/>
          <w:kern w:val="0"/>
          <w:sz w:val="32"/>
          <w:szCs w:val="32"/>
        </w:rPr>
      </w:pPr>
      <w:r>
        <w:rPr>
          <w:rFonts w:eastAsia="方正仿宋_GBK"/>
          <w:kern w:val="0"/>
          <w:sz w:val="32"/>
          <w:szCs w:val="32"/>
        </w:rPr>
        <w:t>https://www.chinatimes.com/realtimenews/20260901003141-260405?chdtv</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32" w:name="_Toc239868508"/>
      <w:r>
        <w:rPr>
          <w:rFonts w:ascii="方正楷体_GBK" w:eastAsia="方正楷体_GBK" w:cs="宋体" w:hint="eastAsia"/>
          <w:bCs w:val="0"/>
          <w:kern w:val="0"/>
          <w:sz w:val="32"/>
          <w:szCs w:val="32"/>
        </w:rPr>
        <w:t>中国台湾修订食品中多残留抗生素类兽药残留检测方法。</w:t>
      </w:r>
      <w:bookmarkEnd w:id="228"/>
      <w:bookmarkEnd w:id="232"/>
    </w:p>
    <w:p>
      <w:pPr>
        <w:overflowPunct w:val="0"/>
        <w:ind w:firstLineChars="200" w:firstLine="624"/>
        <w:rPr>
          <w:rFonts w:eastAsia="方正仿宋_GBK"/>
          <w:kern w:val="0"/>
          <w:sz w:val="32"/>
          <w:szCs w:val="32"/>
        </w:rPr>
      </w:pPr>
      <w:r>
        <w:rPr>
          <w:rFonts w:eastAsia="方正仿宋_GBK"/>
          <w:kern w:val="0"/>
          <w:sz w:val="32"/>
          <w:szCs w:val="32"/>
        </w:rPr>
        <w:t>2026年8月25日，</w:t>
      </w:r>
      <w:r>
        <w:rPr>
          <w:rFonts w:eastAsia="方正仿宋_GBK" w:hint="eastAsia"/>
          <w:kern w:val="0"/>
          <w:sz w:val="32"/>
          <w:szCs w:val="32"/>
        </w:rPr>
        <w:t>中国</w:t>
      </w:r>
      <w:r>
        <w:rPr>
          <w:rFonts w:eastAsia="方正仿宋_GBK"/>
          <w:kern w:val="0"/>
          <w:sz w:val="32"/>
          <w:szCs w:val="32"/>
        </w:rPr>
        <w:t>台湾</w:t>
      </w:r>
      <w:r>
        <w:rPr>
          <w:rFonts w:eastAsia="方正仿宋_GBK" w:hint="eastAsia"/>
          <w:kern w:val="0"/>
          <w:sz w:val="32"/>
          <w:szCs w:val="32"/>
        </w:rPr>
        <w:t>“</w:t>
      </w:r>
      <w:r>
        <w:rPr>
          <w:rFonts w:eastAsia="方正仿宋_GBK"/>
          <w:kern w:val="0"/>
          <w:sz w:val="32"/>
          <w:szCs w:val="32"/>
        </w:rPr>
        <w:t>卫福部食药署</w:t>
      </w:r>
      <w:r>
        <w:rPr>
          <w:rFonts w:eastAsia="方正仿宋_GBK" w:hint="eastAsia"/>
          <w:kern w:val="0"/>
          <w:sz w:val="32"/>
          <w:szCs w:val="32"/>
        </w:rPr>
        <w:t>”</w:t>
      </w:r>
      <w:r>
        <w:rPr>
          <w:rFonts w:eastAsia="方正仿宋_GBK"/>
          <w:kern w:val="0"/>
          <w:sz w:val="32"/>
          <w:szCs w:val="32"/>
        </w:rPr>
        <w:t>发布卫授食字第1151901319号</w:t>
      </w:r>
      <w:r>
        <w:rPr>
          <w:rFonts w:eastAsia="方正仿宋_GBK" w:hint="eastAsia"/>
          <w:kern w:val="0"/>
          <w:sz w:val="32"/>
          <w:szCs w:val="32"/>
        </w:rPr>
        <w:t>通知</w:t>
      </w:r>
      <w:r>
        <w:rPr>
          <w:rFonts w:eastAsia="方正仿宋_GBK"/>
          <w:kern w:val="0"/>
          <w:sz w:val="32"/>
          <w:szCs w:val="32"/>
        </w:rPr>
        <w:t>，修订食品中兽医药物残留检测方法——抗生素多残留及其代谢物分析，</w:t>
      </w:r>
      <w:r>
        <w:rPr>
          <w:rFonts w:eastAsia="方正仿宋_GBK" w:hint="eastAsia"/>
          <w:kern w:val="0"/>
          <w:sz w:val="32"/>
          <w:szCs w:val="32"/>
        </w:rPr>
        <w:t>自</w:t>
      </w:r>
      <w:r>
        <w:rPr>
          <w:rFonts w:eastAsia="方正仿宋_GBK"/>
          <w:kern w:val="0"/>
          <w:sz w:val="32"/>
          <w:szCs w:val="32"/>
        </w:rPr>
        <w:t>2027年1月1日起实施。主要内容</w:t>
      </w:r>
      <w:r>
        <w:rPr>
          <w:rFonts w:eastAsia="方正仿宋_GBK" w:hint="eastAsia"/>
          <w:kern w:val="0"/>
          <w:sz w:val="32"/>
          <w:szCs w:val="32"/>
        </w:rPr>
        <w:t>如下</w:t>
      </w:r>
      <w:r>
        <w:rPr>
          <w:rFonts w:eastAsia="方正仿宋_GBK"/>
          <w:kern w:val="0"/>
          <w:sz w:val="32"/>
          <w:szCs w:val="32"/>
        </w:rPr>
        <w:t>：（1）适用范围删除：先锋哌酮钠（Cefoperazone）及美西林（Mecillinam）两种抗生素的检测，由原16种抗生素的检测修订为14种抗生素；产品增加蛋类产品的检测；（2）装置增列酸碱度测定仪；试药中对照用标准品共16品项修正为14品项，删除先锋哌酮钠及美西林对照用标准品；器具及材料增列容量瓶；试剂的调制增列70%甲醇溶液；标准溶液的配制修正标准溶液配制浓度范围；检液的调制扩增蛋类基质；基质匹配检量线的制作修正液相层析串联质谱分析测定条件；移动相溶液的配制、内部标准溶液的配制、鉴别试验及含量测定及附注2依检验方法格式进行文字修正；（3）检出限量修正为定量极限；增加蛋类中克拉红霉素（Clarithromycin）定量极限为0.01mg/kg；蛋类中交沙霉素（Josamycin）定量极限为0.005mg/kg；蛋类中吉他霉素（Kitasamycin）定量极限为0.01mg/kg等。</w:t>
      </w:r>
    </w:p>
    <w:p>
      <w:pPr>
        <w:overflowPunct w:val="0"/>
        <w:ind w:firstLineChars="200" w:firstLine="624"/>
        <w:rPr>
          <w:rFonts w:eastAsia="方正仿宋_GBK"/>
          <w:kern w:val="0"/>
          <w:sz w:val="32"/>
          <w:szCs w:val="32"/>
        </w:rPr>
      </w:pPr>
      <w:r>
        <w:rPr>
          <w:rFonts w:eastAsia="方正仿宋_GBK"/>
          <w:kern w:val="0"/>
          <w:sz w:val="32"/>
          <w:szCs w:val="32"/>
        </w:rPr>
        <w:t>https://www.fda.gov.tw/TC/newsContent.aspx?cid=3&amp;id=31706</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33" w:name="_Toc239757900"/>
      <w:bookmarkStart w:id="234" w:name="_Toc239807849"/>
      <w:bookmarkStart w:id="235" w:name="_Toc239868509"/>
      <w:bookmarkStart w:id="236" w:name="_Toc239156182"/>
      <w:bookmarkStart w:id="237" w:name="_Toc239062789"/>
      <w:bookmarkStart w:id="238" w:name="_Toc238774573"/>
      <w:r>
        <w:rPr>
          <w:rFonts w:ascii="方正楷体_GBK" w:eastAsia="方正楷体_GBK" w:cs="宋体" w:hint="eastAsia"/>
          <w:bCs w:val="0"/>
          <w:kern w:val="0"/>
          <w:sz w:val="32"/>
          <w:szCs w:val="32"/>
        </w:rPr>
        <w:t>市场监管总局公开征求《关于深入推进 内外贸产品同线同标同质促进消费扩容提质的 实施意见（征求意见稿）》意见。</w:t>
      </w:r>
      <w:bookmarkEnd w:id="233"/>
      <w:bookmarkEnd w:id="234"/>
      <w:bookmarkEnd w:id="235"/>
    </w:p>
    <w:p>
      <w:pPr>
        <w:overflowPunct w:val="0"/>
        <w:ind w:firstLineChars="200" w:firstLine="624"/>
        <w:rPr>
          <w:rFonts w:eastAsia="方正仿宋_GBK"/>
          <w:kern w:val="0"/>
          <w:sz w:val="32"/>
          <w:szCs w:val="32"/>
        </w:rPr>
      </w:pPr>
      <w:r>
        <w:rPr>
          <w:rFonts w:eastAsia="方正仿宋_GBK" w:hint="eastAsia"/>
          <w:kern w:val="0"/>
          <w:sz w:val="32"/>
          <w:szCs w:val="32"/>
        </w:rPr>
        <w:t>2026年9月3日，</w:t>
      </w:r>
      <w:r>
        <w:rPr>
          <w:rFonts w:eastAsia="方正仿宋_GBK"/>
          <w:kern w:val="0"/>
          <w:sz w:val="32"/>
          <w:szCs w:val="32"/>
        </w:rPr>
        <w:t>为贯彻落实党中央、国务院促进内外贸一体化发展、大力提振消费有关部署要求，进一步推进内外贸产品同线同标同质，扩大国内优质产品供给、推动消费扩容提质，市场监管总局组织起草了《关于深入推进内外贸产品同线同标同质促进消费扩容提质的实施意见（征求意见稿）》，现向社会公开征求意见。主要内容：</w:t>
      </w:r>
      <w:r>
        <w:rPr>
          <w:rFonts w:eastAsia="方正仿宋_GBK" w:hint="eastAsia"/>
          <w:kern w:val="0"/>
          <w:sz w:val="32"/>
          <w:szCs w:val="32"/>
        </w:rPr>
        <w:t>（1）</w:t>
      </w:r>
      <w:r>
        <w:rPr>
          <w:rFonts w:eastAsia="方正仿宋_GBK"/>
          <w:kern w:val="0"/>
          <w:sz w:val="32"/>
          <w:szCs w:val="32"/>
        </w:rPr>
        <w:t>优化</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产品评估方式：</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是指在同一企业生产、执行国内国际兼容的标准和质量管理要求，可以同时适配境外目标市场出口和国内市场销售的高品质产品。生产企业可以依据《同线同标同质产品评估规则（试行）》（以下简称《评估规则》），基于检验检测报告或产品认证证书，在消费品、食品（特殊食品除外）等产品领域自愿开展产品符合</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条件的自评估并进行符合性声明。鼓励检验检测、认证、标准化等技术机构为企业提供标准比对、检测报告等效分析、企业管理能力提升、产品符合</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的检验检测或认证评价等质量专业服务</w:t>
      </w:r>
      <w:r>
        <w:rPr>
          <w:rFonts w:eastAsia="方正仿宋_GBK" w:hint="eastAsia"/>
          <w:kern w:val="0"/>
          <w:sz w:val="32"/>
          <w:szCs w:val="32"/>
        </w:rPr>
        <w:t>；（2）</w:t>
      </w:r>
      <w:r>
        <w:rPr>
          <w:rFonts w:eastAsia="方正仿宋_GBK"/>
          <w:kern w:val="0"/>
          <w:sz w:val="32"/>
          <w:szCs w:val="32"/>
        </w:rPr>
        <w:t>统一</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产品标识：市场监管总局制定发布统一的</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产品标识样式。企业可以根据标识样式自行生成、使用包含二维码的</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产品标识，其中扫描二维码应可展示有关产品标准名称、标准号、版本等信息，便利消费者识别国内国际标准兼容情况，鼓励企业同时展示有关检验检测报告、认证证书等佐证材料信息。企业声明有关产品符合</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要求的，需在产品最小销售单元的外包装、使用说明书或者便于消费者查询的其他位置标示</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标识，并向注册地所在省级市场监管部门备案企业名称、产品名称及型号、</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标识二维码等关键信息。企业承担</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产品质量主体责任，对符合性声明及佐证材料的真实性、准确性、完整性负责，并主动接受政府部门监管和社会监督。未经</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评估或评估后不符合</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要求的，不得使用</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产品标识或篡改、冒用、伪造标识</w:t>
      </w:r>
      <w:r>
        <w:rPr>
          <w:rFonts w:eastAsia="方正仿宋_GBK" w:hint="eastAsia"/>
          <w:kern w:val="0"/>
          <w:sz w:val="32"/>
          <w:szCs w:val="32"/>
        </w:rPr>
        <w:t>；（3）</w:t>
      </w:r>
      <w:r>
        <w:rPr>
          <w:rFonts w:eastAsia="方正仿宋_GBK"/>
          <w:kern w:val="0"/>
          <w:sz w:val="32"/>
          <w:szCs w:val="32"/>
        </w:rPr>
        <w:t>加大</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产品推广力度：各地商务主管部门支持企业参与</w:t>
      </w:r>
      <w:r>
        <w:rPr>
          <w:rFonts w:eastAsia="方正仿宋_GBK" w:hint="eastAsia"/>
          <w:kern w:val="0"/>
          <w:sz w:val="32"/>
          <w:szCs w:val="32"/>
        </w:rPr>
        <w:t>“</w:t>
      </w:r>
      <w:r>
        <w:rPr>
          <w:rFonts w:eastAsia="方正仿宋_GBK"/>
          <w:kern w:val="0"/>
          <w:sz w:val="32"/>
          <w:szCs w:val="32"/>
        </w:rPr>
        <w:t>外贸优品中华行</w:t>
      </w:r>
      <w:r>
        <w:rPr>
          <w:rFonts w:eastAsia="方正仿宋_GBK" w:hint="eastAsia"/>
          <w:kern w:val="0"/>
          <w:sz w:val="32"/>
          <w:szCs w:val="32"/>
        </w:rPr>
        <w:t>”</w:t>
      </w:r>
      <w:r>
        <w:rPr>
          <w:rFonts w:eastAsia="方正仿宋_GBK"/>
          <w:kern w:val="0"/>
          <w:sz w:val="32"/>
          <w:szCs w:val="32"/>
        </w:rPr>
        <w:t>活动，推广</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产品。积极引导有关行业协会、生产企业等相关方通过展览展销、消费体验等活动，促进</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产品线上线下销售。重点支持内外贸一体化经营企业、出口转内销企业生产和销售</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产品。鼓励通过内外贸一体化综合服务平台或者</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企业服务平台，为</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产品提供集中展示、渠道对接、市场推广等服务。企业申请在平台展示的，展示信息应与</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产品标识二维码提供信息一致</w:t>
      </w:r>
      <w:r>
        <w:rPr>
          <w:rFonts w:eastAsia="方正仿宋_GBK" w:hint="eastAsia"/>
          <w:kern w:val="0"/>
          <w:sz w:val="32"/>
          <w:szCs w:val="32"/>
        </w:rPr>
        <w:t>；（4）</w:t>
      </w:r>
      <w:r>
        <w:rPr>
          <w:rFonts w:eastAsia="方正仿宋_GBK"/>
          <w:kern w:val="0"/>
          <w:sz w:val="32"/>
          <w:szCs w:val="32"/>
        </w:rPr>
        <w:t>加强</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产品符合性管理：省级市场监管部门要向社会公开</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产品备案方式。各地市场监管部门依法强化对本辖区</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产品标识使用、产品符合性的监督管理，对发现产品有关情况与声明不符的，通过提醒敦促、行政约谈、责令整改等方式，督促企业停止使用</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产品标识，及时向社会公开有关情况，并将有关情况报送至省级市场监管部门；已经在内外贸一体化公共服务平</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产品专区或者其他</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企业服务平台展示的，平台主管部门应撤销信息展示。对涉嫌存在生产销售不合格产品、虚假宣传等问题的，依据有关法律法规予以查处。加强社会监督，鼓励消费者通过热线电话等方式反映问题线索</w:t>
      </w:r>
      <w:r>
        <w:rPr>
          <w:rFonts w:eastAsia="方正仿宋_GBK" w:hint="eastAsia"/>
          <w:kern w:val="0"/>
          <w:sz w:val="32"/>
          <w:szCs w:val="32"/>
        </w:rPr>
        <w:t>；（5）</w:t>
      </w:r>
      <w:r>
        <w:rPr>
          <w:rFonts w:eastAsia="方正仿宋_GBK"/>
          <w:kern w:val="0"/>
          <w:sz w:val="32"/>
          <w:szCs w:val="32"/>
        </w:rPr>
        <w:t>加强宣传推动：各地市场监管部门、商务部门要深刻认识</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工作的重要意义，依托质量、贸促等各种专题活动，积极组织开展</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政策解读，加强宣贯培训，不断提升</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产品市场辨识度与消费认可度。及时总结推广</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产品培育、出口转内销等方面的典型经验和案例，充分发挥示范引领作用，提升工作水平，形成工作合力，推动</w:t>
      </w:r>
      <w:r>
        <w:rPr>
          <w:rFonts w:eastAsia="方正仿宋_GBK" w:hint="eastAsia"/>
          <w:kern w:val="0"/>
          <w:sz w:val="32"/>
          <w:szCs w:val="32"/>
        </w:rPr>
        <w:t>“</w:t>
      </w:r>
      <w:r>
        <w:rPr>
          <w:rFonts w:eastAsia="方正仿宋_GBK"/>
          <w:kern w:val="0"/>
          <w:sz w:val="32"/>
          <w:szCs w:val="32"/>
        </w:rPr>
        <w:t>三同</w:t>
      </w:r>
      <w:r>
        <w:rPr>
          <w:rFonts w:eastAsia="方正仿宋_GBK" w:hint="eastAsia"/>
          <w:kern w:val="0"/>
          <w:sz w:val="32"/>
          <w:szCs w:val="32"/>
        </w:rPr>
        <w:t>”</w:t>
      </w:r>
      <w:r>
        <w:rPr>
          <w:rFonts w:eastAsia="方正仿宋_GBK"/>
          <w:kern w:val="0"/>
          <w:sz w:val="32"/>
          <w:szCs w:val="32"/>
        </w:rPr>
        <w:t>工作取得扎实成效。</w:t>
      </w:r>
    </w:p>
    <w:p>
      <w:pPr>
        <w:overflowPunct w:val="0"/>
        <w:ind w:firstLineChars="200" w:firstLine="624"/>
        <w:rPr>
          <w:rFonts w:eastAsia="方正仿宋_GBK"/>
          <w:kern w:val="0"/>
          <w:sz w:val="32"/>
          <w:szCs w:val="32"/>
        </w:rPr>
      </w:pPr>
      <w:r>
        <w:rPr>
          <w:rFonts w:eastAsia="方正仿宋_GBK"/>
          <w:kern w:val="0"/>
          <w:sz w:val="32"/>
          <w:szCs w:val="32"/>
        </w:rPr>
        <w:t>https://www.samr.gov.cn/hd/zjdc/art/2026/art_51e4a2d316c748fca61353c8c27b9921.html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39" w:name="_Toc239757901"/>
      <w:bookmarkStart w:id="240" w:name="_Toc239807850"/>
      <w:bookmarkStart w:id="241" w:name="_Toc239868510"/>
      <w:r>
        <w:rPr>
          <w:rFonts w:ascii="方正楷体_GBK" w:eastAsia="方正楷体_GBK" w:cs="宋体" w:hint="eastAsia"/>
          <w:bCs w:val="0"/>
          <w:kern w:val="0"/>
          <w:sz w:val="32"/>
          <w:szCs w:val="32"/>
        </w:rPr>
        <w:t>国家粮储局对花生等标准公开征求意见。</w:t>
      </w:r>
      <w:bookmarkEnd w:id="239"/>
      <w:bookmarkEnd w:id="240"/>
      <w:bookmarkEnd w:id="241"/>
    </w:p>
    <w:p>
      <w:pPr>
        <w:overflowPunct w:val="0"/>
        <w:ind w:firstLineChars="200" w:firstLine="624"/>
        <w:rPr>
          <w:rFonts w:eastAsia="方正仿宋_GBK"/>
          <w:kern w:val="0"/>
          <w:sz w:val="32"/>
          <w:szCs w:val="32"/>
        </w:rPr>
      </w:pPr>
      <w:r>
        <w:rPr>
          <w:rFonts w:eastAsia="方正仿宋_GBK" w:hint="eastAsia"/>
          <w:kern w:val="0"/>
          <w:sz w:val="32"/>
          <w:szCs w:val="32"/>
        </w:rPr>
        <w:t>2026年9月2日，国家粮储局发布关于公开征求《花生》等31项标准意见的通知，意见反馈期截至2026年11月2日。本次公开征求意见的标准涉及食品的有：《食用燕麦麸皮》、《花生》、《芝麻油》、《食用花生饼、粕》、《食用大豆粕》、《大豆蛋白粉》、《粮油检验 小麦制粉试验》、《粮油检验 小麦粉破损淀粉测定 α-淀粉酶法》、《粮油检验 谷物中铅和总砷快速同时测定》、《粮油检验 主要谷物中17种真菌毒素的测定 液相色谱-串联质谱法》、《粮油检验 磷脂中磷脂类化合物含量的测定 高效液相色谱-蒸发光散射法》等。</w:t>
      </w:r>
    </w:p>
    <w:p>
      <w:pPr>
        <w:overflowPunct w:val="0"/>
        <w:ind w:firstLineChars="200" w:firstLine="624"/>
        <w:rPr>
          <w:rFonts w:eastAsia="方正仿宋_GBK"/>
          <w:kern w:val="0"/>
          <w:sz w:val="32"/>
          <w:szCs w:val="32"/>
        </w:rPr>
      </w:pPr>
      <w:r>
        <w:rPr>
          <w:rFonts w:eastAsia="方正仿宋_GBK"/>
          <w:kern w:val="0"/>
          <w:sz w:val="32"/>
          <w:szCs w:val="32"/>
        </w:rPr>
        <w:t>https://www.lswz.gov.cn/html/zmhd/yjzj/2026-09/02/content_294931.shtml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42" w:name="_Toc239807851"/>
      <w:bookmarkStart w:id="243" w:name="_Toc239868511"/>
      <w:bookmarkStart w:id="244" w:name="_Toc239757902"/>
      <w:r>
        <w:rPr>
          <w:rFonts w:ascii="方正楷体_GBK" w:eastAsia="方正楷体_GBK" w:cs="宋体" w:hint="eastAsia"/>
          <w:bCs w:val="0"/>
          <w:kern w:val="0"/>
          <w:sz w:val="32"/>
          <w:szCs w:val="32"/>
        </w:rPr>
        <w:t>国家卫健委印发2026年度食品安全国家标准立项计划。</w:t>
      </w:r>
      <w:bookmarkEnd w:id="242"/>
      <w:bookmarkEnd w:id="243"/>
    </w:p>
    <w:p>
      <w:pPr>
        <w:overflowPunct w:val="0"/>
        <w:ind w:firstLineChars="200" w:firstLine="624"/>
        <w:rPr>
          <w:rFonts w:eastAsia="方正仿宋_GBK"/>
          <w:kern w:val="0"/>
          <w:sz w:val="32"/>
          <w:szCs w:val="32"/>
        </w:rPr>
      </w:pPr>
      <w:r>
        <w:rPr>
          <w:rFonts w:eastAsia="方正仿宋_GBK" w:hint="eastAsia"/>
          <w:kern w:val="0"/>
          <w:sz w:val="32"/>
          <w:szCs w:val="32"/>
        </w:rPr>
        <w:t>2026年9月1日，国家卫健委印发2026年度食品安全国家标准立项计划。制定的相关标准包括《食品中茶多酚的测定》《食品中1,6-二磷酸果糖的测定》《食品中ε-聚赖氨酸的测定》《食品中姜黄素的测定》《食品中紫胶红的测定》《食品中溶菌酶的测定》《食品中放射性核素的高纯锗γ能谱分析方法》《D-阿洛酮糖》《食品营养强化剂 乳酸镁》《脑卒中全营养配方食品》《特殊膳食用食品氨基酸通则》《毒理学关注阈值（TTC）方法》《食品接触材料及制品 1-己烯迁移量的测定》《食品接触材料及制品 环辛烯和2-苯丙烯迁移量的测定》等；修订的相关标准包括《食品添加剂使用标准》《食品添加剂 二氧化碳》《食品添加剂 松香甘油酯和氢化松香甘油酯》《食品添加剂 天然胡萝卜素》《食品添加剂 日落黄及铝色淀》《食品添加剂 苋菜红及铝色淀》《食品添加剂 胭脂红及铝色淀》《食品添加剂 赤藓红及铝色淀》《食品中有机锡的测定》《食品中氟的测定》《食品微生物学检验  产气荚膜梭菌检验》《食品微生物学检验  产米酵菌酸唐菖蒲伯克霍尔德氏菌检验》《食品营养强化剂 L-硒-甲基硒代半胱氨酸》《食品营养强化剂 天门冬氨酸钙》《腌腊肉制品》《方便面》《酱腌菜》《动物蛋白肽》《食品接触材料及制品 醋酸乙烯酯迁移量的测定》等；修改单包括《奶油粉》《食品中牛磺酸的测定》《食品中维生素B1的测定》等。</w:t>
      </w:r>
    </w:p>
    <w:p>
      <w:pPr>
        <w:overflowPunct w:val="0"/>
        <w:ind w:firstLineChars="200" w:firstLine="624"/>
        <w:rPr>
          <w:rFonts w:eastAsia="方正仿宋_GBK"/>
          <w:kern w:val="0"/>
          <w:sz w:val="32"/>
          <w:szCs w:val="32"/>
        </w:rPr>
      </w:pPr>
      <w:r>
        <w:rPr>
          <w:rFonts w:eastAsia="方正仿宋_GBK"/>
          <w:kern w:val="0"/>
          <w:sz w:val="32"/>
          <w:szCs w:val="32"/>
        </w:rPr>
        <w:t>https://www.nhc.gov.cn/sps/c100087/202609/3615907d8c04480ea80c5132a75fffdc.shtml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45" w:name="_Toc239807852"/>
      <w:bookmarkStart w:id="246" w:name="_Toc239868512"/>
      <w:r>
        <w:rPr>
          <w:rFonts w:ascii="方正楷体_GBK" w:eastAsia="方正楷体_GBK" w:cs="宋体" w:hint="eastAsia"/>
          <w:bCs w:val="0"/>
          <w:kern w:val="0"/>
          <w:sz w:val="32"/>
          <w:szCs w:val="32"/>
        </w:rPr>
        <w:t>工信化部发布多项食品行业标准。</w:t>
      </w:r>
      <w:bookmarkEnd w:id="244"/>
      <w:bookmarkEnd w:id="245"/>
      <w:bookmarkEnd w:id="246"/>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2026年9月1日，工信部发布2026年第23号公告，批准369项行业标准。其中涉及食品的行业标准包括《焙烤食品用糖浆》（QB/T 8352-2026）、《黄瓜罐头》（QB/T 4625-2026）、《果酱类罐头》（QB/T 1386-2026）、《食品中γ-氨基丁酸的测定方法》（QB/T 8289-2026）等。上述标准生效日期为2027年10月1日等。</w:t>
      </w:r>
    </w:p>
    <w:p>
      <w:pPr>
        <w:overflowPunct w:val="0"/>
        <w:ind w:firstLineChars="200" w:firstLine="624"/>
        <w:rPr>
          <w:rFonts w:eastAsia="方正仿宋_GBK"/>
          <w:kern w:val="0"/>
          <w:sz w:val="32"/>
          <w:szCs w:val="32"/>
        </w:rPr>
      </w:pPr>
      <w:r>
        <w:rPr>
          <w:rFonts w:eastAsia="方正仿宋_GBK"/>
          <w:kern w:val="0"/>
          <w:sz w:val="32"/>
          <w:szCs w:val="32"/>
        </w:rPr>
        <w:t>https://www.miit.gov.cn/jgsj/kjs/wjfb/art/2026/art_e5d1207a78634b9e8591d9f4e01319a4.html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47" w:name="_Toc239327068"/>
      <w:bookmarkStart w:id="248" w:name="_Toc239807853"/>
      <w:bookmarkStart w:id="249" w:name="_Toc239868513"/>
      <w:r>
        <w:rPr>
          <w:rFonts w:ascii="方正楷体_GBK" w:eastAsia="方正楷体_GBK" w:cs="宋体" w:hint="eastAsia"/>
          <w:bCs w:val="0"/>
          <w:kern w:val="0"/>
          <w:sz w:val="32"/>
          <w:szCs w:val="32"/>
        </w:rPr>
        <w:t>工信部发布多项食品化妆品行业标准。</w:t>
      </w:r>
      <w:bookmarkEnd w:id="247"/>
      <w:bookmarkEnd w:id="248"/>
      <w:bookmarkEnd w:id="249"/>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2026年9月1日，工业和信息化部发布2026年第22号公告，批准674项行业标准。其中涉及食品化妆品的行业标准包括《全谷物食品及添加全谷物食品》（QB/T 8265-2026）、《竹笋罐头》（QB/T 1406-2026）、《婴幼儿配方乳粉行业产品质量安全追溯体系规范》（QB/T 4971-2026）、《冻干食品通则》（QB/T 8231-2026）、《化妆品用原料小核菌（Sclerotiumrolfssii）胶和水解小核菌（Sclerotiumrolfssii）胶》（QB/T 8358-2026）等。上述标准生效日期为2027年9月1日等。</w:t>
      </w:r>
    </w:p>
    <w:p>
      <w:pPr>
        <w:overflowPunct w:val="0"/>
        <w:ind w:firstLineChars="200" w:firstLine="624"/>
        <w:rPr>
          <w:rFonts w:eastAsia="方正仿宋_GBK"/>
          <w:kern w:val="0"/>
          <w:sz w:val="32"/>
          <w:szCs w:val="32"/>
        </w:rPr>
      </w:pPr>
      <w:r>
        <w:rPr>
          <w:rFonts w:eastAsia="方正仿宋_GBK"/>
          <w:kern w:val="0"/>
          <w:sz w:val="32"/>
          <w:szCs w:val="32"/>
        </w:rPr>
        <w:t>https://www.miit.gov.cn/jgsj/kjs/wjfb/art/2026/art_eb6516dbd5014ddb9984b77494d6b54c.html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50" w:name="_Toc239868514"/>
      <w:r>
        <w:rPr>
          <w:rFonts w:ascii="方正楷体_GBK" w:eastAsia="方正楷体_GBK" w:cs="宋体" w:hint="eastAsia"/>
          <w:bCs w:val="0"/>
          <w:kern w:val="0"/>
          <w:sz w:val="32"/>
          <w:szCs w:val="32"/>
        </w:rPr>
        <w:t>蛋类罐头等多项行业标准和地方标准发布。</w:t>
      </w:r>
      <w:bookmarkEnd w:id="236"/>
      <w:bookmarkEnd w:id="250"/>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9月1日，国家标准委分别发布中华人民共和国行业标准备案月报2026年第8号(总第316号)和地方标准备案月报2026年第8号(总第313号)，其中：（1）2026年8月工业和信息化部、国家档案局、国家广播电视总局等12个部门18个行业共发布标准1044项，涉及食品标准的是《蛋类罐头》（QB/T 8254-2026）、《贝类罐头》（QB/T 1374-2026）等，实施日期为2027年2月1日等；（2）2026年8月北京市、河北省、内蒙古自治区等12个省市区共发布标准382项，涉及食品标准包括《地理标志产品质量要求 浮梁茶》（DB36/T 2245-2026）、《寒富苹果生产技术规程》（DB15/T 1680-2026）等地方标准，实施日期为2027年2月1日等；同时，废止《食品及其质量安全信息分类与编码标准》（DB4201/T 682-2023）等地方标准。</w:t>
      </w:r>
    </w:p>
    <w:p>
      <w:pPr>
        <w:overflowPunct w:val="0"/>
        <w:ind w:firstLineChars="200" w:firstLine="624"/>
        <w:rPr>
          <w:rFonts w:eastAsia="方正仿宋_GBK"/>
          <w:kern w:val="0"/>
          <w:sz w:val="32"/>
          <w:szCs w:val="32"/>
        </w:rPr>
      </w:pPr>
      <w:r>
        <w:rPr>
          <w:rFonts w:eastAsia="方正仿宋_GBK"/>
          <w:kern w:val="0"/>
          <w:sz w:val="32"/>
          <w:szCs w:val="32"/>
        </w:rPr>
        <w:t>https://std.sacinfo.org.cn/gnocHb/queryInfo?id=87B39BE6D031947DDB7EA82BB1B3A045F3B8FCE04E0824396D490FFD0F93D73A</w:t>
      </w:r>
      <w:r>
        <w:rPr>
          <w:rFonts w:eastAsia="方正仿宋_GBK" w:hint="eastAsia"/>
          <w:kern w:val="0"/>
          <w:sz w:val="32"/>
          <w:szCs w:val="32"/>
        </w:rPr>
        <w:t xml:space="preserve"> ；</w:t>
      </w:r>
    </w:p>
    <w:p>
      <w:pPr>
        <w:overflowPunct w:val="0"/>
        <w:ind w:firstLineChars="200" w:firstLine="624"/>
        <w:rPr>
          <w:rFonts w:eastAsia="方正仿宋_GBK"/>
          <w:kern w:val="0"/>
          <w:sz w:val="32"/>
          <w:szCs w:val="32"/>
        </w:rPr>
      </w:pPr>
      <w:r>
        <w:rPr>
          <w:rFonts w:eastAsia="方正仿宋_GBK"/>
          <w:kern w:val="0"/>
          <w:sz w:val="32"/>
          <w:szCs w:val="32"/>
        </w:rPr>
        <w:t>https://std.sacinfo.org.cn/gnocDb/queryInfo?id=4F45C07B8976412C9E9EBF1CA70101FC4ECC50780530CFC1262B55C90DBCB9CA</w:t>
      </w:r>
      <w:r>
        <w:rPr>
          <w:rFonts w:eastAsia="方正仿宋_GBK" w:hint="eastAsia"/>
          <w:kern w:val="0"/>
          <w:sz w:val="32"/>
          <w:szCs w:val="32"/>
        </w:rPr>
        <w:t xml:space="preserve"> </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51" w:name="_Toc239156183"/>
      <w:bookmarkStart w:id="252" w:name="_Toc239868515"/>
      <w:r>
        <w:rPr>
          <w:rFonts w:ascii="方正楷体_GBK" w:eastAsia="方正楷体_GBK" w:cs="宋体" w:hint="eastAsia"/>
          <w:bCs w:val="0"/>
          <w:kern w:val="0"/>
          <w:sz w:val="32"/>
          <w:szCs w:val="32"/>
        </w:rPr>
        <w:t>桑黄菌丝体等3种新食品原料公开征求意见。</w:t>
      </w:r>
      <w:bookmarkEnd w:id="251"/>
      <w:bookmarkEnd w:id="252"/>
    </w:p>
    <w:p>
      <w:pPr>
        <w:overflowPunct w:val="0"/>
        <w:ind w:firstLineChars="200" w:firstLine="624"/>
        <w:rPr>
          <w:rFonts w:eastAsia="方正仿宋_GBK"/>
          <w:kern w:val="0"/>
          <w:sz w:val="32"/>
          <w:szCs w:val="32"/>
        </w:rPr>
      </w:pPr>
      <w:r>
        <w:rPr>
          <w:rFonts w:eastAsia="方正仿宋_GBK" w:hint="eastAsia"/>
          <w:kern w:val="0"/>
          <w:sz w:val="32"/>
          <w:szCs w:val="32"/>
        </w:rPr>
        <w:t>2026年8月31日，国家食品安全风险评估中心征求桑黄菌丝体等3种新食品原料意见，意见反馈期截至2026年9月30日。桑黄菌丝体推荐食用量≤5克/天（以粗多糖含量55g/100g计，超过该含量的按照实际含量折算）；婴幼儿、孕妇、哺乳期妇女和食用真菌过敏者不宜食用，标签、说明书应当标注不适宜人群和食用限量。库拉索芦荟凝胶婴幼儿、孕妇和哺乳期妇女不宜食用，标签、说明书应当标注不适宜人群和食用限量。圆红酵母油推荐食用量≤2.5克/天，使用范围不包括婴幼儿食品；食品安全指标须符合过氧化值≤0.25g/100g，酸价（KOH）≤3.0mg/g，铅（Pb）≤0.08mg/kg，总砷（As）≤0.1mg/kg，苯并[a]芘≤10.0µg/kg，溶剂残留不得检出。</w:t>
      </w:r>
    </w:p>
    <w:p>
      <w:pPr>
        <w:overflowPunct w:val="0"/>
        <w:ind w:firstLineChars="200" w:firstLine="624"/>
        <w:rPr>
          <w:rFonts w:eastAsia="方正仿宋_GBK"/>
          <w:kern w:val="0"/>
          <w:sz w:val="32"/>
          <w:szCs w:val="32"/>
        </w:rPr>
      </w:pPr>
      <w:r>
        <w:rPr>
          <w:rFonts w:eastAsia="方正仿宋_GBK"/>
          <w:kern w:val="0"/>
          <w:sz w:val="32"/>
          <w:szCs w:val="32"/>
        </w:rPr>
        <w:t>https://www.cfsa.net.cn/spaqbz/xzxkzqyj/2026/17223.shtml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53" w:name="_Toc239807854"/>
      <w:bookmarkStart w:id="254" w:name="_Toc239868516"/>
      <w:r>
        <w:rPr>
          <w:rFonts w:ascii="方正楷体_GBK" w:eastAsia="方正楷体_GBK" w:cs="宋体" w:hint="eastAsia"/>
          <w:bCs w:val="0"/>
          <w:kern w:val="0"/>
          <w:sz w:val="32"/>
          <w:szCs w:val="32"/>
        </w:rPr>
        <w:t>国家标准委发布糙米等多项推荐性国家标准。</w:t>
      </w:r>
      <w:bookmarkEnd w:id="253"/>
      <w:bookmarkEnd w:id="254"/>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kern w:val="0"/>
          <w:sz w:val="32"/>
          <w:szCs w:val="32"/>
        </w:rPr>
        <w:t>2026年8月28日，国家标准委发布2026年第38号公告，批准《钢铁及合金 镍含量的测定 分光光度法和重量法》等271项推荐性国家标准。其中涉及食品的相关标准有：《</w:t>
      </w:r>
      <w:r>
        <w:rPr>
          <w:rFonts w:eastAsia="方正仿宋_GBK"/>
          <w:kern w:val="0"/>
          <w:sz w:val="32"/>
          <w:szCs w:val="32"/>
        </w:rPr>
        <w:fldChar w:fldCharType="begin"/>
      </w:r>
      <w:r>
        <w:instrText>HYPERLINK "https://std.sacinfo.org.cn/gnoc/queryItemInfoPlat?projectId=55790&amp;type=GB_INFO"</w:instrText>
      </w:r>
      <w:r>
        <w:rPr>
          <w:rFonts w:eastAsia="方正仿宋_GBK"/>
          <w:kern w:val="0"/>
          <w:sz w:val="32"/>
          <w:szCs w:val="32"/>
        </w:rPr>
        <w:fldChar w:fldCharType="separate"/>
      </w:r>
      <w:r>
        <w:rPr>
          <w:rFonts w:eastAsia="方正仿宋_GBK"/>
          <w:kern w:val="0"/>
          <w:sz w:val="32"/>
          <w:szCs w:val="32"/>
        </w:rPr>
        <w:t>食醋质量通则</w:t>
      </w:r>
      <w:r>
        <w:rPr>
          <w:rFonts w:eastAsia="方正仿宋_GBK"/>
          <w:kern w:val="0"/>
          <w:sz w:val="32"/>
          <w:szCs w:val="32"/>
        </w:rPr>
        <w:fldChar w:fldCharType="end"/>
      </w:r>
      <w:r>
        <w:rPr>
          <w:rFonts w:eastAsia="方正仿宋_GBK"/>
          <w:kern w:val="0"/>
          <w:sz w:val="32"/>
          <w:szCs w:val="32"/>
        </w:rPr>
        <w:t>》、《</w:t>
      </w:r>
      <w:r>
        <w:rPr>
          <w:rFonts w:eastAsia="方正仿宋_GBK"/>
          <w:kern w:val="0"/>
          <w:sz w:val="32"/>
          <w:szCs w:val="32"/>
        </w:rPr>
        <w:fldChar w:fldCharType="begin"/>
      </w:r>
      <w:r>
        <w:instrText>HYPERLINK "https://std.sacinfo.org.cn/gnoc/queryItemInfoPlat?projectId=56808&amp;type=GB_INFO"</w:instrText>
      </w:r>
      <w:r>
        <w:rPr>
          <w:rFonts w:eastAsia="方正仿宋_GBK"/>
          <w:kern w:val="0"/>
          <w:sz w:val="32"/>
          <w:szCs w:val="32"/>
        </w:rPr>
        <w:fldChar w:fldCharType="separate"/>
      </w:r>
      <w:r>
        <w:rPr>
          <w:rFonts w:eastAsia="方正仿宋_GBK"/>
          <w:kern w:val="0"/>
          <w:sz w:val="32"/>
          <w:szCs w:val="32"/>
        </w:rPr>
        <w:t>调味品分类</w:t>
      </w:r>
      <w:r>
        <w:rPr>
          <w:rFonts w:eastAsia="方正仿宋_GBK"/>
          <w:kern w:val="0"/>
          <w:sz w:val="32"/>
          <w:szCs w:val="32"/>
        </w:rPr>
        <w:fldChar w:fldCharType="end"/>
      </w:r>
      <w:r>
        <w:rPr>
          <w:rFonts w:eastAsia="方正仿宋_GBK"/>
          <w:kern w:val="0"/>
          <w:sz w:val="32"/>
          <w:szCs w:val="32"/>
        </w:rPr>
        <w:t>》2027年09月01日实施；《糙米》、《蜜蜂产品术语》、《</w:t>
      </w:r>
      <w:r>
        <w:rPr>
          <w:rFonts w:eastAsia="方正仿宋_GBK"/>
          <w:kern w:val="0"/>
          <w:sz w:val="32"/>
          <w:szCs w:val="32"/>
        </w:rPr>
        <w:fldChar w:fldCharType="begin"/>
      </w:r>
      <w:r>
        <w:instrText>HYPERLINK "https://std.sacinfo.org.cn/gnoc/queryItemInfoPlat?projectId=1004209&amp;type=GB_INFO"</w:instrText>
      </w:r>
      <w:r>
        <w:rPr>
          <w:rFonts w:eastAsia="方正仿宋_GBK"/>
          <w:kern w:val="0"/>
          <w:sz w:val="32"/>
          <w:szCs w:val="32"/>
        </w:rPr>
        <w:fldChar w:fldCharType="separate"/>
      </w:r>
      <w:r>
        <w:rPr>
          <w:rFonts w:eastAsia="方正仿宋_GBK"/>
          <w:kern w:val="0"/>
          <w:sz w:val="32"/>
          <w:szCs w:val="32"/>
        </w:rPr>
        <w:t>山核桃坚果</w:t>
      </w:r>
      <w:r>
        <w:rPr>
          <w:rFonts w:eastAsia="方正仿宋_GBK"/>
          <w:kern w:val="0"/>
          <w:sz w:val="32"/>
          <w:szCs w:val="32"/>
        </w:rPr>
        <w:fldChar w:fldCharType="end"/>
      </w:r>
      <w:r>
        <w:rPr>
          <w:rFonts w:eastAsia="方正仿宋_GBK"/>
          <w:kern w:val="0"/>
          <w:sz w:val="32"/>
          <w:szCs w:val="32"/>
        </w:rPr>
        <w:t>》、《巢蜜》等2027年3月1日实施。</w:t>
      </w:r>
    </w:p>
    <w:p>
      <w:pPr>
        <w:overflowPunct w:val="0"/>
        <w:ind w:firstLineChars="200" w:firstLine="624"/>
        <w:rPr>
          <w:rFonts w:eastAsia="方正仿宋_GBK"/>
          <w:kern w:val="0"/>
          <w:sz w:val="32"/>
          <w:szCs w:val="32"/>
        </w:rPr>
      </w:pPr>
      <w:r>
        <w:rPr>
          <w:rFonts w:eastAsia="方正仿宋_GBK"/>
          <w:kern w:val="0"/>
          <w:sz w:val="32"/>
          <w:szCs w:val="32"/>
        </w:rPr>
        <w:t>https://std.sacinfo.org.cn/gnoc/queryInfo?id=0B347330C11236FBEF63C49E7EAA5AAC</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55" w:name="_Toc239868517"/>
      <w:r>
        <w:rPr>
          <w:rFonts w:ascii="方正楷体_GBK" w:eastAsia="方正楷体_GBK" w:cs="宋体" w:hint="eastAsia"/>
          <w:bCs w:val="0"/>
          <w:kern w:val="0"/>
          <w:sz w:val="32"/>
          <w:szCs w:val="32"/>
        </w:rPr>
        <w:t>市场监管总局发布食品标识监督管理办法实施问答。</w:t>
      </w:r>
      <w:bookmarkEnd w:id="237"/>
      <w:bookmarkEnd w:id="255"/>
    </w:p>
    <w:p>
      <w:pPr>
        <w:overflowPunct w:val="0"/>
        <w:ind w:firstLineChars="200" w:firstLine="624"/>
        <w:rPr>
          <w:rFonts w:eastAsia="方正仿宋_GBK"/>
          <w:kern w:val="0"/>
          <w:sz w:val="32"/>
          <w:szCs w:val="32"/>
        </w:rPr>
      </w:pPr>
      <w:r>
        <w:rPr>
          <w:rFonts w:eastAsia="方正仿宋_GBK" w:hint="eastAsia"/>
          <w:kern w:val="0"/>
          <w:sz w:val="32"/>
          <w:szCs w:val="32"/>
        </w:rPr>
        <w:t>2026年8月28日，市场监管总局发布《食品标识监督管理办法》实施问答，其中包括如何理解“预包装食品标签强制标示事项应当在最小销售单元外包装上标注”？生产日期、保质期到期日是否必须以白底黑字的形式标注？如何确定多层包装食品的生产日期？以动物源性食品（畜禽肉或者动物性水产品）为原料制成的水饺、包子等食品，其名称如何体现畜禽肉或者动物性水产品原料？等问题及回答。</w:t>
      </w:r>
    </w:p>
    <w:p>
      <w:pPr>
        <w:overflowPunct w:val="0"/>
        <w:ind w:firstLineChars="200" w:firstLine="624"/>
        <w:rPr>
          <w:rFonts w:eastAsia="方正仿宋_GBK"/>
          <w:kern w:val="0"/>
          <w:sz w:val="32"/>
          <w:szCs w:val="32"/>
        </w:rPr>
      </w:pPr>
      <w:r>
        <w:rPr>
          <w:rFonts w:eastAsia="方正仿宋_GBK"/>
          <w:kern w:val="0"/>
          <w:sz w:val="32"/>
          <w:szCs w:val="32"/>
        </w:rPr>
        <w:t>https://www.samr.gov.cn/zw/zfxxgk/fdzdgknr/spscs/art/2026/art_9a2980ad60f7459aab4d6f5b9902767b.html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56" w:name="_Toc239868518"/>
      <w:r>
        <w:rPr>
          <w:rFonts w:ascii="方正楷体_GBK" w:eastAsia="方正楷体_GBK" w:cs="宋体" w:hint="eastAsia"/>
          <w:bCs w:val="0"/>
          <w:kern w:val="0"/>
          <w:sz w:val="32"/>
          <w:szCs w:val="32"/>
        </w:rPr>
        <w:t>市场监管总局发布新版有机产品认证目录。</w:t>
      </w:r>
      <w:bookmarkEnd w:id="238"/>
      <w:bookmarkEnd w:id="256"/>
    </w:p>
    <w:p>
      <w:pPr>
        <w:overflowPunct w:val="0"/>
        <w:ind w:firstLineChars="200" w:firstLine="624"/>
        <w:rPr>
          <w:rFonts w:eastAsia="方正仿宋_GBK"/>
          <w:kern w:val="0"/>
          <w:sz w:val="32"/>
          <w:szCs w:val="32"/>
        </w:rPr>
      </w:pPr>
      <w:r>
        <w:rPr>
          <w:rFonts w:eastAsia="方正仿宋_GBK" w:hint="eastAsia"/>
          <w:kern w:val="0"/>
          <w:sz w:val="32"/>
          <w:szCs w:val="32"/>
        </w:rPr>
        <w:t>2026年8月27日，市场监管总局发布新版《有机产品认证目录》（以下简称《目录》）。《目录》坚持严控风险、科学严谨、服务发展的原则，聚焦四部分内容，实现有机产品认证品类的优化。</w:t>
      </w:r>
      <w:r>
        <w:rPr>
          <w:rFonts w:eastAsia="方正仿宋_GBK" w:hint="eastAsia"/>
          <w:b/>
          <w:bCs/>
          <w:kern w:val="0"/>
          <w:sz w:val="32"/>
          <w:szCs w:val="32"/>
        </w:rPr>
        <w:t>一是</w:t>
      </w:r>
      <w:r>
        <w:rPr>
          <w:rFonts w:eastAsia="方正仿宋_GBK" w:hint="eastAsia"/>
          <w:kern w:val="0"/>
          <w:sz w:val="32"/>
          <w:szCs w:val="32"/>
        </w:rPr>
        <w:t>清理低效品类。结合近年发证数据与风险评估情况，删除了312种较难满足有机生产加工标准要求、市场需求小的产品，涉及蔬菜、中草药、水产品等产品领域。</w:t>
      </w:r>
      <w:r>
        <w:rPr>
          <w:rFonts w:eastAsia="方正仿宋_GBK" w:hint="eastAsia"/>
          <w:b/>
          <w:bCs/>
          <w:kern w:val="0"/>
          <w:sz w:val="32"/>
          <w:szCs w:val="32"/>
        </w:rPr>
        <w:t>二是</w:t>
      </w:r>
      <w:r>
        <w:rPr>
          <w:rFonts w:eastAsia="方正仿宋_GBK" w:hint="eastAsia"/>
          <w:kern w:val="0"/>
          <w:sz w:val="32"/>
          <w:szCs w:val="32"/>
        </w:rPr>
        <w:t>优化产品类别描述。参照有关国家标准、行业标准和行政许可分类，对饲用作物、水产品、深加工食品、纺织品等产品分类描述进行了优化。</w:t>
      </w:r>
      <w:r>
        <w:rPr>
          <w:rFonts w:eastAsia="方正仿宋_GBK" w:hint="eastAsia"/>
          <w:b/>
          <w:bCs/>
          <w:kern w:val="0"/>
          <w:sz w:val="32"/>
          <w:szCs w:val="32"/>
        </w:rPr>
        <w:t>三是</w:t>
      </w:r>
      <w:r>
        <w:rPr>
          <w:rFonts w:eastAsia="方正仿宋_GBK" w:hint="eastAsia"/>
          <w:kern w:val="0"/>
          <w:sz w:val="32"/>
          <w:szCs w:val="32"/>
        </w:rPr>
        <w:t>规范产品名称和归类。统一使用产品规范学名，俗称纳入备注。对于多用途产品，按照产品核心用途进行归类，避免重复列举。对于包含多个品类的产品，进一步明确了产品的具体覆盖范围。</w:t>
      </w:r>
      <w:r>
        <w:rPr>
          <w:rFonts w:eastAsia="方正仿宋_GBK" w:hint="eastAsia"/>
          <w:b/>
          <w:bCs/>
          <w:kern w:val="0"/>
          <w:sz w:val="32"/>
          <w:szCs w:val="32"/>
        </w:rPr>
        <w:t>四是</w:t>
      </w:r>
      <w:r>
        <w:rPr>
          <w:rFonts w:eastAsia="方正仿宋_GBK" w:hint="eastAsia"/>
          <w:kern w:val="0"/>
          <w:sz w:val="32"/>
          <w:szCs w:val="32"/>
        </w:rPr>
        <w:t>增补合规新品。经过专家技术评估，新增25种产品，覆盖种植、野生采集、加工等领域，精准适配有机生产、市场消费与贸易需求。《目录》整体框架保持稳定，全面覆盖初级农产品至深加工制品全产业链，共计45大类135子类1087种产品，其中生产类产品747种、加工类产品340种。</w:t>
      </w:r>
    </w:p>
    <w:p>
      <w:pPr>
        <w:overflowPunct w:val="0"/>
        <w:ind w:firstLineChars="200" w:firstLine="624"/>
        <w:rPr>
          <w:rFonts w:eastAsia="方正仿宋_GBK"/>
          <w:kern w:val="0"/>
          <w:sz w:val="32"/>
          <w:szCs w:val="32"/>
        </w:rPr>
      </w:pPr>
      <w:r>
        <w:rPr>
          <w:rFonts w:eastAsia="方正仿宋_GBK"/>
          <w:kern w:val="0"/>
          <w:sz w:val="32"/>
          <w:szCs w:val="32"/>
        </w:rPr>
        <w:t>https://www.samr.gov.cn/xw/sj/art/2026/art_f5e0f924c7ad4440b0052094185ca2d4.html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57" w:name="_Toc239156184"/>
      <w:bookmarkStart w:id="258" w:name="_Toc239868519"/>
      <w:bookmarkStart w:id="259" w:name="_Toc238774574"/>
      <w:r>
        <w:rPr>
          <w:rFonts w:ascii="方正楷体_GBK" w:eastAsia="方正楷体_GBK" w:cs="宋体" w:hint="eastAsia"/>
          <w:bCs w:val="0"/>
          <w:kern w:val="0"/>
          <w:sz w:val="32"/>
          <w:szCs w:val="32"/>
        </w:rPr>
        <w:t>新版农业法正式发布。</w:t>
      </w:r>
      <w:bookmarkEnd w:id="257"/>
      <w:bookmarkEnd w:id="258"/>
    </w:p>
    <w:p>
      <w:pPr>
        <w:overflowPunct w:val="0"/>
        <w:ind w:firstLineChars="200" w:firstLine="624"/>
        <w:rPr>
          <w:rFonts w:eastAsia="方正仿宋_GBK"/>
          <w:kern w:val="0"/>
          <w:sz w:val="32"/>
          <w:szCs w:val="32"/>
        </w:rPr>
      </w:pPr>
      <w:r>
        <w:rPr>
          <w:rFonts w:eastAsia="方正仿宋_GBK" w:hint="eastAsia"/>
          <w:kern w:val="0"/>
          <w:sz w:val="32"/>
          <w:szCs w:val="32"/>
        </w:rPr>
        <w:t>2026年8月28日，全国人民代表大会常务委员会发布《中华人民共和国农业法》（2026年修订版），实施日期为2027年1月1日。《农业法》明确农业生产经营体制、农产品流通与加工、粮食安全、农业投入与支持保护、农业科技教育与人才、土地等农业资源保护、农业绿色发展、农民权益保护、农村经济发展、监督检查及法律责任等内容；县级以上地方人民政府应当支持粮食烘干、产品分级、农产品产地冷藏保鲜、冷链物流等设施建设，支持完善县乡村物流配送体系，提高农产品储存、运输技术水平，增强保障供应能力；支持发展农产品加工业和食品工业，推动农产品加工业优化升级，增加农产品的附加值。</w:t>
      </w:r>
    </w:p>
    <w:p>
      <w:pPr>
        <w:overflowPunct w:val="0"/>
        <w:ind w:firstLineChars="200" w:firstLine="624"/>
        <w:rPr>
          <w:rFonts w:eastAsia="方正仿宋_GBK"/>
          <w:kern w:val="0"/>
          <w:sz w:val="32"/>
          <w:szCs w:val="32"/>
        </w:rPr>
      </w:pPr>
      <w:r>
        <w:rPr>
          <w:rFonts w:eastAsia="方正仿宋_GBK"/>
          <w:kern w:val="0"/>
          <w:sz w:val="32"/>
          <w:szCs w:val="32"/>
        </w:rPr>
        <w:t>http://www.npc.gov.cn/npc/c2/c30834/202608/t20260828_457231.html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60" w:name="_Toc239156185"/>
      <w:bookmarkStart w:id="261" w:name="_Toc239868520"/>
      <w:r>
        <w:rPr>
          <w:rFonts w:ascii="方正楷体_GBK" w:eastAsia="方正楷体_GBK" w:cs="宋体" w:hint="eastAsia"/>
          <w:bCs w:val="0"/>
          <w:kern w:val="0"/>
          <w:sz w:val="32"/>
          <w:szCs w:val="32"/>
        </w:rPr>
        <w:t>农业农村部公开征求国家突发重大动物疫情应急预案意见。</w:t>
      </w:r>
      <w:bookmarkEnd w:id="260"/>
      <w:bookmarkEnd w:id="261"/>
    </w:p>
    <w:p>
      <w:pPr>
        <w:overflowPunct w:val="0"/>
        <w:ind w:firstLineChars="200" w:firstLine="624"/>
        <w:rPr>
          <w:rFonts w:eastAsia="方正仿宋_GBK"/>
          <w:kern w:val="0"/>
          <w:sz w:val="32"/>
          <w:szCs w:val="32"/>
        </w:rPr>
      </w:pPr>
      <w:r>
        <w:rPr>
          <w:rFonts w:eastAsia="方正仿宋_GBK" w:hint="eastAsia"/>
          <w:kern w:val="0"/>
          <w:sz w:val="32"/>
          <w:szCs w:val="32"/>
        </w:rPr>
        <w:t>2026年8月28日，农业农村部畜牧兽医局征求《国家突发重大动物疫情应急预案（征求意见稿）》，意见反馈期截至2026年9月28日。《预案》明确将疫情分为特别重大、重大、较大和一般四级，监测预警要求建立健全监测网络，预警级别从高到低设为红橙黄蓝四色；应急处置涵盖前期处置、疫情报告（2小时内逐级上报）、分级响应（一级由国务院启动、二级由省级、三级由市级、四级由县级分别启动），并对未发生地区防控、人员安全防护、响应调整与终止、信息发布等作出规定；善后处理包括后期评估、扑杀补偿、抚恤补助、恢复生产、社会救助、表彰奖励和责任追究；保障措施涵盖应急队伍、经费（纳入本级预算）、物资、技术、培训和演练、宣传教育等。</w:t>
      </w:r>
    </w:p>
    <w:p>
      <w:pPr>
        <w:overflowPunct w:val="0"/>
        <w:ind w:firstLineChars="200" w:firstLine="624"/>
        <w:rPr>
          <w:rFonts w:eastAsia="方正仿宋_GBK"/>
          <w:kern w:val="0"/>
          <w:sz w:val="32"/>
          <w:szCs w:val="32"/>
        </w:rPr>
      </w:pPr>
      <w:r>
        <w:rPr>
          <w:rFonts w:eastAsia="方正仿宋_GBK"/>
          <w:kern w:val="0"/>
          <w:sz w:val="32"/>
          <w:szCs w:val="32"/>
        </w:rPr>
        <w:t>https://xmsyj.moa.gov.cn/gzdt/202608/t20260828_6487122.htm</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62" w:name="_Toc239868521"/>
      <w:r>
        <w:rPr>
          <w:rFonts w:ascii="方正楷体_GBK" w:eastAsia="方正楷体_GBK" w:cs="宋体" w:hint="eastAsia"/>
          <w:bCs w:val="0"/>
          <w:kern w:val="0"/>
          <w:sz w:val="32"/>
          <w:szCs w:val="32"/>
        </w:rPr>
        <w:t>食用菌罐头质量通则第1号修改单公开征求意见。</w:t>
      </w:r>
      <w:bookmarkEnd w:id="259"/>
      <w:bookmarkEnd w:id="262"/>
    </w:p>
    <w:p>
      <w:pPr>
        <w:overflowPunct w:val="0"/>
        <w:ind w:firstLineChars="200" w:firstLine="624"/>
        <w:rPr>
          <w:rFonts w:eastAsia="方正仿宋_GBK"/>
          <w:kern w:val="0"/>
          <w:sz w:val="32"/>
          <w:szCs w:val="32"/>
        </w:rPr>
      </w:pPr>
      <w:r>
        <w:rPr>
          <w:rFonts w:eastAsia="方正仿宋_GBK"/>
          <w:kern w:val="0"/>
          <w:sz w:val="32"/>
          <w:szCs w:val="32"/>
        </w:rPr>
        <w:t>2026年8月27日，市场监管总局公开征求《</w:t>
      </w:r>
      <w:r>
        <w:rPr>
          <w:rFonts w:eastAsia="方正仿宋_GBK" w:hint="eastAsia"/>
          <w:kern w:val="0"/>
          <w:sz w:val="32"/>
          <w:szCs w:val="32"/>
        </w:rPr>
        <w:t>食用菌罐头质量通则《第1号修改单》（报批稿）》意见，意见反馈期截</w:t>
      </w:r>
      <w:r>
        <w:rPr>
          <w:rFonts w:eastAsia="方正仿宋_GBK"/>
          <w:kern w:val="0"/>
          <w:sz w:val="32"/>
          <w:szCs w:val="32"/>
        </w:rPr>
        <w:t>至2026年9月23日。主要修订内容为：</w:t>
      </w:r>
      <w:r>
        <w:rPr>
          <w:rFonts w:eastAsia="方正仿宋_GBK" w:hint="eastAsia"/>
          <w:kern w:val="0"/>
          <w:sz w:val="32"/>
          <w:szCs w:val="32"/>
        </w:rPr>
        <w:t>（1）</w:t>
      </w:r>
      <w:r>
        <w:rPr>
          <w:rFonts w:eastAsia="方正仿宋_GBK"/>
          <w:kern w:val="0"/>
          <w:sz w:val="32"/>
          <w:szCs w:val="32"/>
        </w:rPr>
        <w:t>将</w:t>
      </w:r>
      <w:r>
        <w:rPr>
          <w:rFonts w:eastAsia="方正仿宋_GBK" w:hint="eastAsia"/>
          <w:kern w:val="0"/>
          <w:sz w:val="32"/>
          <w:szCs w:val="32"/>
        </w:rPr>
        <w:t>开伞蘑菇“grilling agaricus bisporus”更改为“grilling Agaricus bisporus”；（2）将开伞菇“grilling lenlinula edodes （Berk.） pegler”更改为“grilling Lentinula edode”；（3）将开伞金菇“grilling flammulima velutipes”更改为“grilling Flammulina velutipes”；（4）将开伞滑子菇“grilling pholiota nameko”更改为“grilling Pholiota nameko”。</w:t>
      </w:r>
    </w:p>
    <w:p>
      <w:pPr>
        <w:overflowPunct w:val="0"/>
        <w:ind w:firstLineChars="200" w:firstLine="624"/>
        <w:rPr>
          <w:rFonts w:eastAsia="方正仿宋_GBK"/>
          <w:kern w:val="0"/>
          <w:sz w:val="32"/>
          <w:szCs w:val="32"/>
        </w:rPr>
      </w:pPr>
      <w:r>
        <w:rPr>
          <w:rFonts w:eastAsia="方正仿宋_GBK"/>
          <w:kern w:val="0"/>
          <w:sz w:val="32"/>
          <w:szCs w:val="32"/>
        </w:rPr>
        <w:t>https://www.samr.gov.cn/bzjss/zqyj/art/2026/art_0c9999a4f5c547c29a5227a4f3958ae4.html</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63" w:name="_Toc239062790"/>
      <w:bookmarkStart w:id="264" w:name="_Toc239868522"/>
      <w:bookmarkStart w:id="265" w:name="_Toc238774575"/>
      <w:r>
        <w:rPr>
          <w:rFonts w:ascii="方正楷体_GBK" w:eastAsia="方正楷体_GBK" w:cs="宋体" w:hint="eastAsia"/>
          <w:bCs w:val="0"/>
          <w:kern w:val="0"/>
          <w:sz w:val="32"/>
          <w:szCs w:val="32"/>
        </w:rPr>
        <w:t>禽肉中牛磺酸含量的测定液相色谱-串联质谱法等农业行业标准批准发布。</w:t>
      </w:r>
      <w:bookmarkEnd w:id="263"/>
      <w:bookmarkEnd w:id="264"/>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26日，农业农村部发布第1056号公告，批准发布236项中华人民共和国农业行业标准，自2027年2月1日起实施。涉及食品相关的：《动物源性食品中弓形虫检测方法》、《动物及动物产品中单核细胞增生李斯特菌检测技术》、《鸡木质胸肉的检测方法》、《禽肉中牛磺酸含量的测定液相色谱-串联质谱法》、《熏烧烤肉制品绿色加工技术规范》等多项农业行业标准。</w:t>
      </w:r>
      <w:r>
        <w:rPr>
          <w:rFonts w:ascii="Tahoma" w:eastAsia="方正仿宋_GBK" w:cs="Tahoma" w:hAnsi="Tahoma"/>
          <w:kern w:val="0"/>
          <w:sz w:val="32"/>
          <w:szCs w:val="32"/>
        </w:rPr>
        <w:t>﻿</w:t>
      </w:r>
    </w:p>
    <w:p>
      <w:pPr>
        <w:overflowPunct w:val="0"/>
        <w:ind w:firstLineChars="200" w:firstLine="624"/>
        <w:rPr>
          <w:rFonts w:eastAsia="方正仿宋_GBK"/>
          <w:kern w:val="0"/>
          <w:sz w:val="32"/>
          <w:szCs w:val="32"/>
        </w:rPr>
      </w:pPr>
      <w:r>
        <w:rPr>
          <w:rFonts w:eastAsia="方正仿宋_GBK"/>
          <w:kern w:val="0"/>
          <w:sz w:val="32"/>
          <w:szCs w:val="32"/>
        </w:rPr>
        <w:t>https://www.moa.gov.cn/govpublic/ncpzlaq/202608/t20260828_6487086.htm</w:t>
      </w:r>
    </w:p>
    <w:p>
      <w:pPr>
        <w:pStyle w:val="1"/>
        <w:numPr>
          <w:ilvl w:val="0"/>
          <w:numId w:val="2"/>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66" w:name="_Toc239868523"/>
      <w:r>
        <w:rPr>
          <w:rFonts w:ascii="方正楷体_GBK" w:eastAsia="方正楷体_GBK" w:cs="宋体" w:hint="eastAsia"/>
          <w:bCs w:val="0"/>
          <w:kern w:val="0"/>
          <w:sz w:val="32"/>
          <w:szCs w:val="32"/>
        </w:rPr>
        <w:t>卫健委发布关于规范医疗机构特殊医学用途配方食品使用的指导意见。</w:t>
      </w:r>
      <w:bookmarkEnd w:id="265"/>
      <w:bookmarkEnd w:id="266"/>
    </w:p>
    <w:p>
      <w:pPr>
        <w:overflowPunct w:val="0"/>
        <w:ind w:firstLineChars="200" w:firstLine="624"/>
        <w:rPr>
          <w:rFonts w:eastAsia="方正仿宋_GBK"/>
          <w:kern w:val="0"/>
          <w:sz w:val="32"/>
          <w:szCs w:val="32"/>
        </w:rPr>
      </w:pPr>
      <w:r>
        <w:rPr>
          <w:rFonts w:eastAsia="方正仿宋_GBK" w:hint="eastAsia"/>
          <w:kern w:val="0"/>
          <w:sz w:val="32"/>
          <w:szCs w:val="32"/>
        </w:rPr>
        <w:t>2026年8月26日，卫健委发布关于规范医疗机构特殊医学用途配方食品使用的指导意见，主要内容如下：（1）适用原则：特医食品，是指经国家市场监督管理部门注册可以在国内市场销售，为了满足进食受限、消化吸收障碍、代谢紊乱或特定疾病状态人群对营养素或膳食的特殊需要，专门加工配制而成的配方食品；（2）建立健全特医食品使用管理机制；（3）完善特医食品院内管理制度；（4）规范特医食品院内使用环节。</w:t>
      </w:r>
    </w:p>
    <w:p>
      <w:pPr>
        <w:overflowPunct w:val="0"/>
        <w:ind w:firstLineChars="200" w:firstLine="624"/>
        <w:rPr>
          <w:rFonts w:eastAsia="方正仿宋_GBK"/>
          <w:kern w:val="0"/>
          <w:sz w:val="32"/>
          <w:szCs w:val="32"/>
        </w:rPr>
      </w:pPr>
      <w:r>
        <w:rPr>
          <w:rFonts w:eastAsia="方正仿宋_GBK"/>
          <w:kern w:val="0"/>
          <w:sz w:val="32"/>
          <w:szCs w:val="32"/>
        </w:rPr>
        <w:t>https://www.nhc.gov.cn/sps/c100088/202608/61b24000aca84669be5e227bc6739aca.shtml</w:t>
      </w:r>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267" w:name="_Toc239868524"/>
      <w:bookmarkEnd w:id="111"/>
      <w:r>
        <w:rPr>
          <w:rFonts w:ascii="方正黑体_GBK" w:eastAsia="方正黑体_GBK" w:cs="宋体" w:hint="eastAsia"/>
          <w:b w:val="0"/>
          <w:kern w:val="0"/>
          <w:sz w:val="32"/>
          <w:szCs w:val="32"/>
        </w:rPr>
        <w:t>进出口化妆品安全信息</w:t>
      </w:r>
      <w:bookmarkEnd w:id="267"/>
    </w:p>
    <w:p>
      <w:pPr>
        <w:pStyle w:val="1"/>
        <w:numPr>
          <w:ilvl w:val="0"/>
          <w:numId w:val="3"/>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68" w:name="_Toc238774577"/>
      <w:bookmarkStart w:id="269" w:name="_Toc238204359"/>
      <w:bookmarkStart w:id="270" w:name="_Toc239327070"/>
      <w:bookmarkStart w:id="271" w:name="_Toc239807857"/>
      <w:bookmarkStart w:id="272" w:name="_Toc239868526"/>
      <w:r>
        <w:rPr>
          <w:rFonts w:ascii="方正楷体_GBK" w:eastAsia="方正楷体_GBK" w:cs="宋体"/>
          <w:bCs w:val="0"/>
          <w:kern w:val="0"/>
          <w:sz w:val="32"/>
          <w:szCs w:val="32"/>
        </w:rPr>
        <w:t>国家药监局发布2025年药品监督管理统计年报</w:t>
      </w:r>
      <w:r>
        <w:rPr>
          <w:rFonts w:ascii="方正楷体_GBK" w:eastAsia="方正楷体_GBK" w:cs="宋体" w:hint="eastAsia"/>
          <w:bCs w:val="0"/>
          <w:kern w:val="0"/>
          <w:sz w:val="32"/>
          <w:szCs w:val="32"/>
        </w:rPr>
        <w:t>。</w:t>
      </w:r>
      <w:bookmarkEnd w:id="270"/>
      <w:bookmarkEnd w:id="271"/>
      <w:bookmarkEnd w:id="272"/>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kern w:val="0"/>
          <w:sz w:val="32"/>
          <w:szCs w:val="32"/>
        </w:rPr>
        <w:t>2026年9月1日，国家药监局发布2025年药品监督管理统计年报，</w:t>
      </w:r>
      <w:r>
        <w:rPr>
          <w:rFonts w:eastAsia="方正仿宋_GBK" w:hint="eastAsia"/>
          <w:kern w:val="0"/>
          <w:sz w:val="32"/>
          <w:szCs w:val="32"/>
        </w:rPr>
        <w:t>包括</w:t>
      </w:r>
      <w:r>
        <w:rPr>
          <w:rFonts w:eastAsia="方正仿宋_GBK"/>
          <w:kern w:val="0"/>
          <w:sz w:val="32"/>
          <w:szCs w:val="32"/>
        </w:rPr>
        <w:t>化妆品注册和新原料注册备案情况、化妆品生产企业日常监管情况、全国查处化妆品案件情况等，主要内容如下：</w:t>
      </w:r>
      <w:r>
        <w:rPr>
          <w:rFonts w:eastAsia="方正仿宋_GBK" w:hint="eastAsia"/>
          <w:kern w:val="0"/>
          <w:sz w:val="32"/>
          <w:szCs w:val="32"/>
        </w:rPr>
        <w:t>（1）</w:t>
      </w:r>
      <w:r>
        <w:rPr>
          <w:rFonts w:eastAsia="方正仿宋_GBK"/>
          <w:kern w:val="0"/>
          <w:sz w:val="32"/>
          <w:szCs w:val="32"/>
        </w:rPr>
        <w:t>2025年特殊化妆品首次申报受理国产10708件批准11008件，进口901件批准950件等；</w:t>
      </w:r>
      <w:r>
        <w:rPr>
          <w:rFonts w:eastAsia="方正仿宋_GBK" w:hint="eastAsia"/>
          <w:kern w:val="0"/>
          <w:sz w:val="32"/>
          <w:szCs w:val="32"/>
        </w:rPr>
        <w:t>（2）</w:t>
      </w:r>
      <w:r>
        <w:rPr>
          <w:rFonts w:eastAsia="方正仿宋_GBK"/>
          <w:kern w:val="0"/>
          <w:sz w:val="32"/>
          <w:szCs w:val="32"/>
        </w:rPr>
        <w:t>化妆品新原料审批受理进口2件，批准1件等；</w:t>
      </w:r>
      <w:r>
        <w:rPr>
          <w:rFonts w:eastAsia="方正仿宋_GBK" w:hint="eastAsia"/>
          <w:kern w:val="0"/>
          <w:sz w:val="32"/>
          <w:szCs w:val="32"/>
        </w:rPr>
        <w:t>（3）</w:t>
      </w:r>
      <w:r>
        <w:rPr>
          <w:rFonts w:eastAsia="方正仿宋_GBK"/>
          <w:kern w:val="0"/>
          <w:sz w:val="32"/>
          <w:szCs w:val="32"/>
        </w:rPr>
        <w:t>全国查处化妆品案件共计25339件，其中涉及互联网1288件。</w:t>
      </w:r>
    </w:p>
    <w:p>
      <w:pPr>
        <w:overflowPunct w:val="0"/>
        <w:ind w:firstLineChars="200" w:firstLine="624"/>
        <w:rPr>
          <w:rFonts w:eastAsia="方正仿宋_GBK"/>
          <w:kern w:val="0"/>
          <w:sz w:val="32"/>
          <w:szCs w:val="32"/>
        </w:rPr>
      </w:pPr>
      <w:r>
        <w:rPr>
          <w:rFonts w:eastAsia="方正仿宋_GBK"/>
          <w:kern w:val="0"/>
          <w:sz w:val="32"/>
          <w:szCs w:val="32"/>
        </w:rPr>
        <w:t>https://www.nmpa.gov.cn/directory/web/nmpa/zwgk/tjxx/tjnb/20260901171526163.html</w:t>
      </w:r>
    </w:p>
    <w:p>
      <w:pPr>
        <w:pStyle w:val="1"/>
        <w:numPr>
          <w:ilvl w:val="0"/>
          <w:numId w:val="3"/>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73" w:name="_Toc239868527"/>
      <w:r>
        <w:rPr>
          <w:rFonts w:ascii="方正楷体_GBK" w:eastAsia="方正楷体_GBK" w:cs="宋体"/>
          <w:bCs w:val="0"/>
          <w:kern w:val="0"/>
          <w:sz w:val="32"/>
          <w:szCs w:val="32"/>
        </w:rPr>
        <w:t>国家药监局发布化妆品产品标准通则</w:t>
      </w:r>
      <w:r>
        <w:rPr>
          <w:rFonts w:ascii="方正楷体_GBK" w:eastAsia="方正楷体_GBK" w:cs="宋体" w:hint="eastAsia"/>
          <w:bCs w:val="0"/>
          <w:kern w:val="0"/>
          <w:sz w:val="32"/>
          <w:szCs w:val="32"/>
        </w:rPr>
        <w:t>。</w:t>
      </w:r>
      <w:bookmarkEnd w:id="268"/>
      <w:bookmarkEnd w:id="273"/>
    </w:p>
    <w:p>
      <w:pPr>
        <w:overflowPunct w:val="0"/>
        <w:ind w:firstLineChars="200" w:firstLine="624"/>
        <w:rPr>
          <w:rFonts w:eastAsia="方正仿宋_GBK"/>
          <w:kern w:val="0"/>
          <w:sz w:val="32"/>
          <w:szCs w:val="32"/>
        </w:rPr>
      </w:pPr>
      <w:r>
        <w:rPr>
          <w:rFonts w:eastAsia="方正仿宋_GBK" w:hint="eastAsia"/>
          <w:kern w:val="0"/>
          <w:sz w:val="32"/>
          <w:szCs w:val="32"/>
        </w:rPr>
        <w:t>2026年</w:t>
      </w:r>
      <w:r>
        <w:rPr>
          <w:rFonts w:eastAsia="方正仿宋_GBK"/>
          <w:kern w:val="0"/>
          <w:sz w:val="32"/>
          <w:szCs w:val="32"/>
        </w:rPr>
        <w:t>8月24日，国家药监局发布《化妆品产品标准通则》（以下简称《通则》）化妆品行业标准。《通则》确立了化妆品产品标准编写的分类原则，规定了产品标准内容的总体要求、要素及设置要求，适用于指导化妆品产品行业标准的编写，自2027年1月1日起实施。《通则》包括术语和定义、分类原则、内容总体要求等内容。在内容总体要求方面，《通则》指出，优先对具有创新性、独特性、为保护消费者用妆安全需明确产品相关技术要求指标的产品制定标准，如新型或特定的产品形态、生产工艺类型、功效类别、适用人群、包装类型、交付需求等产品。对原料、关键生产加工环节、标签、使用期限、包装、运输和贮存方式等要素有特殊要求的，应予以规定。化妆品产品标准应设置原料要求、技术要求指标、检验规则、净含量、标签、使用期限、包装、运输和贮存等要素，《通则》对此逐一阐述要求。</w:t>
      </w:r>
    </w:p>
    <w:p>
      <w:pPr>
        <w:overflowPunct w:val="0"/>
        <w:ind w:firstLineChars="200" w:firstLine="624"/>
        <w:rPr>
          <w:rFonts w:eastAsia="方正仿宋_GBK"/>
          <w:kern w:val="0"/>
          <w:sz w:val="32"/>
          <w:szCs w:val="32"/>
        </w:rPr>
      </w:pPr>
      <w:r>
        <w:rPr>
          <w:rFonts w:eastAsia="方正仿宋_GBK"/>
          <w:kern w:val="0"/>
          <w:sz w:val="32"/>
          <w:szCs w:val="32"/>
        </w:rPr>
        <w:t>https://www.nmpa.gov.cn/xxgk/ggtg/hzhpggtg/jmhzhptg/20260824160907159.html</w:t>
      </w:r>
    </w:p>
    <w:p>
      <w:pPr>
        <w:overflowPunct w:val="0"/>
        <w:ind w:firstLineChars="200" w:firstLine="624"/>
        <w:rPr>
          <w:rFonts w:eastAsia="方正仿宋_GBK"/>
          <w:kern w:val="0"/>
          <w:sz w:val="32"/>
          <w:szCs w:val="32"/>
        </w:rPr>
      </w:pPr>
      <w:bookmarkStart w:id="274" w:name="_GoBack"/>
      <w:bookmarkEnd w:id="99"/>
      <w:bookmarkEnd w:id="100"/>
      <w:bookmarkEnd w:id="101"/>
      <w:bookmarkEnd w:id="102"/>
      <w:bookmarkEnd w:id="103"/>
      <w:bookmarkEnd w:id="104"/>
      <w:bookmarkEnd w:id="105"/>
      <w:bookmarkEnd w:id="106"/>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269"/>
      <w:bookmarkEnd w:id="274"/>
    </w:p>
    <w:sectPr>
      <w:pgSz w:w="11906" w:h="16838"/>
      <w:pgMar w:top="1985" w:right="1361" w:bottom="1361" w:left="1588" w:header="851" w:footer="1418" w:gutter="0"/>
      <w:cols w:num="1" w:space="720"/>
      <w:docGrid w:type="linesAndChars" w:linePitch="286" w:charSpace="-1637"/>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203" w:usb1="288F0000" w:usb2="00000016" w:usb3="00000000" w:csb0="00040001" w:csb1="00000000"/>
  </w:font>
  <w:font w:name="等线">
    <w:altName w:val="方正小标宋简体"/>
    <w:panose1 w:val="02010600030101010101"/>
    <w:charset w:val="86"/>
    <w:family w:val="auto"/>
    <w:pitch w:val="variable"/>
    <w:sig w:usb0="A00002BF" w:usb1="38CF7CFA" w:usb2="00000016" w:usb3="00000000" w:csb0="0004000F" w:csb1="00000000"/>
  </w:font>
  <w:font w:name="Arial">
    <w:altName w:val="DejaVu Sans"/>
    <w:panose1 w:val="020B0604020202020204"/>
    <w:charset w:val="00"/>
    <w:family w:val="swiss"/>
    <w:pitch w:val="variable"/>
    <w:sig w:usb0="E0002EFF" w:usb1="C000785B" w:usb2="00000009" w:usb3="00000000" w:csb0="000001FF" w:csb1="00000000"/>
  </w:font>
  <w:font w:name="Tahoma">
    <w:altName w:val="DejaVu Sans"/>
    <w:panose1 w:val="020B0604030504040204"/>
    <w:charset w:val="00"/>
    <w:family w:val="swiss"/>
    <w:pitch w:val="variable"/>
    <w:sig w:usb0="E1002EFF" w:usb1="C000605B" w:usb2="00000029" w:usb3="00000000" w:csb0="000101FF" w:csb1="00000000"/>
  </w:font>
  <w:font w:name="Leelawadee UI">
    <w:altName w:val="DejaVu Sans"/>
    <w:panose1 w:val="020B0502040204020203"/>
    <w:charset w:val="00"/>
    <w:family w:val="swiss"/>
    <w:pitch w:val="variable"/>
    <w:sig w:usb0="A3000003" w:usb1="00000000" w:usb2="00010000" w:usb3="00000000" w:csb0="00010101" w:csb1="00000000"/>
  </w:font>
  <w:font w:name="Lucida Sans">
    <w:altName w:val="DejaVu Sans"/>
    <w:panose1 w:val="020B0602030504020204"/>
    <w:charset w:val="00"/>
    <w:family w:val="swiss"/>
    <w:pitch w:val="variable"/>
    <w:sig w:usb0="00000003" w:usb1="00000000" w:usb2="00000000" w:usb3="00000000" w:csb0="00000001" w:csb1="00000000"/>
  </w:font>
  <w:font w:name="Cambria">
    <w:altName w:val="DejaVu Sans"/>
    <w:panose1 w:val="02040503050406030204"/>
    <w:charset w:val="00"/>
    <w:family w:val="roman"/>
    <w:pitch w:val="variable"/>
    <w:sig w:usb0="E00006FF" w:usb1="420024FF" w:usb2="02000000" w:usb3="00000000" w:csb0="0000019F" w:csb1="00000000"/>
  </w:font>
  <w:font w:name="Calibri">
    <w:altName w:val="Times New Roman"/>
    <w:panose1 w:val="020F0502020204030204"/>
    <w:charset w:val="00"/>
    <w:family w:val="swiss"/>
    <w:pitch w:val="variable"/>
    <w:sig w:usb0="E4002EFF" w:usb1="C200247B" w:usb2="00000009" w:usb3="00000000" w:csb0="000001FF" w:csb1="00000000"/>
  </w:font>
  <w:font w:name="方正小标宋简体">
    <w:altName w:val="Arial Unicode MS"/>
    <w:panose1 w:val="03000509000000000000"/>
    <w:charset w:val="86"/>
    <w:family w:val="script"/>
    <w:pitch w:val="variable"/>
    <w:sig w:usb0="00000001" w:usb1="080E0000" w:usb2="00000010" w:usb3="00000000" w:csb0="00040000" w:csb1="00000000"/>
  </w:font>
  <w:font w:name="Tinos">
    <w:altName w:val="方正小标宋简体"/>
    <w:panose1 w:val="00000000000000000000"/>
    <w:charset w:val="80"/>
    <w:family w:val="roman"/>
    <w:pitch w:val="variable"/>
  </w:font>
  <w:font w:name="Albany AMT">
    <w:altName w:val="方正黑体_GBK"/>
    <w:panose1 w:val="00000000000000000000"/>
    <w:charset w:val="80"/>
    <w:family w:val="auto"/>
    <w:pitch w:val="variable"/>
  </w:font>
  <w:font w:name="方正仿宋简体">
    <w:altName w:val="方正仿宋_GBK"/>
    <w:panose1 w:val="03000509000000000000"/>
    <w:charset w:val="86"/>
    <w:family w:val="script"/>
    <w:pitch w:val="variable"/>
    <w:sig w:usb0="00000001" w:usb1="080E0000" w:usb2="00000010" w:usb3="00000000" w:csb0="00040000" w:csb1="00000000"/>
  </w:font>
  <w:font w:name="Albany">
    <w:altName w:val="方正小标宋简体"/>
    <w:panose1 w:val="00000000000000000000"/>
    <w:charset w:val="80"/>
    <w:family w:val="swiss"/>
    <w:pitch w:val="variable"/>
  </w:font>
  <w:font w:name="HG Mincho Light J">
    <w:altName w:val="方正黑体_GBK"/>
    <w:panose1 w:val="00000000000000000000"/>
    <w:charset w:val="80"/>
    <w:family w:val="auto"/>
    <w:pitch w:val="variable"/>
  </w:font>
  <w:font w:name="Arial Unicode MS">
    <w:altName w:val="方正黑体_GBK"/>
    <w:panose1 w:val="020B0604020202020204"/>
    <w:charset w:val="86"/>
    <w:family w:val="swiss"/>
    <w:pitch w:val="variable"/>
    <w:sig w:usb0="F7FFAFFF" w:usb1="E9DFFFFF" w:usb2="0000003F" w:usb3="00000000" w:csb0="003F01FF" w:csb1="00000000"/>
  </w:font>
  <w:font w:name="Cumberland AMT">
    <w:altName w:val="方正黑体_GBK"/>
    <w:panose1 w:val="00000000000000000000"/>
    <w:charset w:val="80"/>
    <w:family w:val="modern"/>
    <w:pitch w:val="variable"/>
  </w:font>
  <w:font w:name="新宋体">
    <w:altName w:val="华文宋体"/>
    <w:panose1 w:val="02010609030101010101"/>
    <w:charset w:val="86"/>
    <w:family w:val="modern"/>
    <w:pitch w:val="variable"/>
    <w:sig w:usb0="00000203" w:usb1="288F0000" w:usb2="00000016" w:usb3="00000000" w:csb0="00040001" w:csb1="00000000"/>
  </w:font>
  <w:font w:name="Consolas">
    <w:altName w:val="DejaVu Sans"/>
    <w:panose1 w:val="020B0609020204030204"/>
    <w:charset w:val="00"/>
    <w:family w:val="modern"/>
    <w:pitch w:val="variable"/>
    <w:sig w:usb0="E00006FF" w:usb1="0000FCFF" w:usb2="00000001" w:usb3="00000000" w:csb0="0000019F" w:csb1="00000000"/>
  </w:font>
  <w:font w:name="Helvetica">
    <w:altName w:val="DejaVu Sans"/>
    <w:panose1 w:val="020B0604020202020204"/>
    <w:charset w:val="00"/>
    <w:family w:val="swiss"/>
    <w:pitch w:val="variable"/>
    <w:sig w:usb0="E0002EFF" w:usb1="C000785B" w:usb2="00000009" w:usb3="00000000" w:csb0="000001FF" w:csb1="00000000"/>
  </w:font>
  <w:font w:name="Mangal">
    <w:altName w:val="DejaVu Sans"/>
    <w:panose1 w:val="00000400000000000000"/>
    <w:charset w:val="00"/>
    <w:family w:val="roman"/>
    <w:pitch w:val="variable"/>
    <w:sig w:usb0="00008003" w:usb1="00000000" w:usb2="00000000" w:usb3="00000000" w:csb0="0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fldChar w:fldCharType="begin"/>
    </w:r>
    <w:r>
      <w:instrText>PAGE   \* MERGEFORMAT</w:instrText>
    </w:r>
    <w:r>
      <w:fldChar w:fldCharType="separate"/>
    </w:r>
    <w:r>
      <w:rPr>
        <w:lang w:val="zh-CN"/>
      </w:rPr>
      <w:t>2</w:t>
    </w:r>
    <w:r>
      <w:rPr>
        <w:lang w:val="zh-CN"/>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rPr>
        <w:rStyle w:val="30"/>
      </w:rPr>
      <w:fldChar w:fldCharType="begin"/>
    </w:r>
    <w:r>
      <w:rPr>
        <w:rStyle w:val="30"/>
      </w:rPr>
      <w:instrText xml:space="preserve"> PAGE </w:instrText>
    </w:r>
    <w:r>
      <w:rPr>
        <w:rStyle w:val="30"/>
      </w:rPr>
      <w:fldChar w:fldCharType="separate"/>
    </w:r>
    <w:r>
      <w:rPr>
        <w:rStyle w:val="30"/>
      </w:rPr>
      <w:t>1</w:t>
    </w:r>
    <w:r>
      <w:rPr>
        <w:rStyle w:val="30"/>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0000001"/>
    <w:multiLevelType w:val="multilevel"/>
    <w:tmpl w:val="73527462"/>
    <w:lvl w:ilvl="0">
      <w:start w:val="1"/>
      <w:numFmt w:val="chineseCountingThousand"/>
      <w:lvlRestart w:val="0"/>
      <w:suff w:val="nothing"/>
      <w:lvlText w:val="%1、"/>
      <w:lvlJc w:val="left"/>
      <w:pPr>
        <w:tabs>
          <w:tab w:val="num" w:pos="141"/>
        </w:tabs>
        <w:ind w:left="993" w:hanging="0"/>
      </w:pPr>
      <w:rPr>
        <w:rFonts w:hint="default"/>
      </w:rPr>
    </w:lvl>
    <w:lvl w:ilvl="1">
      <w:start w:val="1"/>
      <w:numFmt w:val="lowerLetter"/>
      <w:lvlText w:val="%2)"/>
      <w:lvlJc w:val="left"/>
      <w:pPr>
        <w:tabs>
          <w:tab w:val="num" w:pos="271"/>
        </w:tabs>
        <w:ind w:left="155" w:hanging="420"/>
      </w:pPr>
    </w:lvl>
    <w:lvl w:ilvl="2">
      <w:start w:val="1"/>
      <w:numFmt w:val="lowerRoman"/>
      <w:lvlText w:val="%3."/>
      <w:lvlJc w:val="right"/>
      <w:pPr>
        <w:tabs>
          <w:tab w:val="num" w:pos="271"/>
        </w:tabs>
        <w:ind w:left="575" w:hanging="420"/>
      </w:pPr>
    </w:lvl>
    <w:lvl w:ilvl="3">
      <w:start w:val="1"/>
      <w:numFmt w:val="decimal"/>
      <w:lvlText w:val="%4."/>
      <w:lvlJc w:val="left"/>
      <w:pPr>
        <w:tabs>
          <w:tab w:val="num" w:pos="271"/>
        </w:tabs>
        <w:ind w:left="995" w:hanging="420"/>
      </w:pPr>
    </w:lvl>
    <w:lvl w:ilvl="4">
      <w:start w:val="1"/>
      <w:numFmt w:val="lowerLetter"/>
      <w:lvlText w:val="%5)"/>
      <w:lvlJc w:val="left"/>
      <w:pPr>
        <w:tabs>
          <w:tab w:val="num" w:pos="271"/>
        </w:tabs>
        <w:ind w:left="1415" w:hanging="420"/>
      </w:pPr>
    </w:lvl>
    <w:lvl w:ilvl="5">
      <w:start w:val="1"/>
      <w:numFmt w:val="lowerRoman"/>
      <w:lvlText w:val="%6."/>
      <w:lvlJc w:val="right"/>
      <w:pPr>
        <w:tabs>
          <w:tab w:val="num" w:pos="271"/>
        </w:tabs>
        <w:ind w:left="1835" w:hanging="420"/>
      </w:pPr>
    </w:lvl>
    <w:lvl w:ilvl="6">
      <w:start w:val="1"/>
      <w:numFmt w:val="decimal"/>
      <w:lvlText w:val="%7."/>
      <w:lvlJc w:val="left"/>
      <w:pPr>
        <w:tabs>
          <w:tab w:val="num" w:pos="271"/>
        </w:tabs>
        <w:ind w:left="2255" w:hanging="420"/>
      </w:pPr>
    </w:lvl>
    <w:lvl w:ilvl="7">
      <w:start w:val="1"/>
      <w:numFmt w:val="lowerLetter"/>
      <w:lvlText w:val="%8)"/>
      <w:lvlJc w:val="left"/>
      <w:pPr>
        <w:tabs>
          <w:tab w:val="num" w:pos="271"/>
        </w:tabs>
        <w:ind w:left="2675" w:hanging="420"/>
      </w:pPr>
    </w:lvl>
    <w:lvl w:ilvl="8">
      <w:start w:val="1"/>
      <w:numFmt w:val="lowerRoman"/>
      <w:lvlText w:val="%9."/>
      <w:lvlJc w:val="right"/>
      <w:pPr>
        <w:tabs>
          <w:tab w:val="num" w:pos="271"/>
        </w:tabs>
        <w:ind w:left="3095" w:hanging="420"/>
      </w:pPr>
    </w:lvl>
  </w:abstractNum>
  <w:abstractNum w:abstractNumId="1">
    <w:nsid w:val="7EB403D1"/>
    <w:multiLevelType w:val="hybridMultilevel"/>
    <w:tmpl w:val="851017DC"/>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nsid w:val="2BB206D3"/>
    <w:multiLevelType w:val="multilevel"/>
    <w:tmpl w:val="72BD09D6"/>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1"/>
  <w:drawingGridVerticalSpacing w:val="143"/>
  <w:displayHorizontalDrawingGridEvery w:val="0"/>
  <w:displayVerticalDrawingGridEvery w:val="2"/>
  <w:compat>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cs="宋体" w:hAnsi="Cambria"/>
      <w:b/>
      <w:bCs/>
      <w:sz w:val="32"/>
      <w:szCs w:val="32"/>
    </w:rPr>
  </w:style>
  <w:style w:type="paragraph" w:styleId="3">
    <w:name w:val="heading 3"/>
    <w:basedOn w:val="0"/>
    <w:next w:val="0"/>
    <w:pPr>
      <w:keepNext/>
      <w:keepLines/>
      <w:widowControl w:val="0"/>
      <w:spacing w:before="260" w:after="260" w:line="416" w:lineRule="atLeast"/>
      <w:outlineLvl w:val="2"/>
    </w:pPr>
    <w:rPr>
      <w:rFonts w:ascii="Calibri" w:cs="宋体" w:hAnsi="Calibri"/>
      <w:b/>
      <w:bCs/>
      <w:sz w:val="32"/>
      <w:szCs w:val="32"/>
    </w:rPr>
  </w:style>
  <w:style w:type="paragraph" w:styleId="4">
    <w:name w:val="heading 4"/>
    <w:basedOn w:val="0"/>
    <w:next w:val="0"/>
    <w:pPr>
      <w:keepNext/>
      <w:keepLines/>
      <w:widowControl w:val="0"/>
      <w:spacing w:before="280" w:after="290" w:line="377" w:lineRule="auto"/>
      <w:outlineLvl w:val="3"/>
    </w:pPr>
    <w:rPr>
      <w:rFonts w:ascii="Cambria" w:cs="宋体" w:hAnsi="Cambria"/>
      <w:b/>
      <w:bCs/>
      <w:sz w:val="28"/>
      <w:szCs w:val="28"/>
    </w:rPr>
  </w:style>
  <w:style w:type="paragraph" w:styleId="5">
    <w:name w:val="heading 5"/>
    <w:basedOn w:val="0"/>
    <w:next w:val="0"/>
    <w:pPr>
      <w:keepNext/>
      <w:keepLines/>
      <w:widowControl w:val="0"/>
      <w:spacing w:before="280" w:after="290" w:line="377" w:lineRule="auto"/>
      <w:outlineLvl w:val="4"/>
    </w:pPr>
    <w:rPr>
      <w:b/>
      <w:bCs/>
      <w:sz w:val="28"/>
      <w:szCs w:val="28"/>
    </w:rPr>
  </w:style>
  <w:style w:type="character" w:default="1" w:styleId="10">
    <w:name w:val="Default Paragraph Font"/>
  </w:style>
  <w:style w:type="paragraph" w:styleId="15">
    <w:name w:val="annotation text"/>
    <w:basedOn w:val="0"/>
    <w:pPr>
      <w:jc w:val="left"/>
    </w:pPr>
  </w:style>
  <w:style w:type="paragraph" w:styleId="16">
    <w:name w:val="annotation subject"/>
    <w:basedOn w:val="15"/>
    <w:next w:val="15"/>
    <w:rPr>
      <w:b/>
      <w:bCs/>
    </w:rPr>
  </w:style>
  <w:style w:type="paragraph" w:styleId="17">
    <w:name w:val="Document Map"/>
    <w:basedOn w:val="0"/>
    <w:rPr>
      <w:rFonts w:ascii="宋体"/>
      <w:sz w:val="18"/>
      <w:szCs w:val="18"/>
    </w:rPr>
  </w:style>
  <w:style w:type="paragraph" w:styleId="18">
    <w:name w:val="Body Text"/>
    <w:basedOn w:val="0"/>
    <w:pPr>
      <w:widowControl w:val="0"/>
      <w:suppressAutoHyphens/>
      <w:spacing w:after="283"/>
      <w:jc w:val="left"/>
    </w:pPr>
    <w:rPr>
      <w:rFonts w:ascii="方正小标宋简体" w:eastAsia="方正小标宋简体" w:cs="方正小标宋简体"/>
      <w:kern w:val="0"/>
      <w:szCs w:val="21"/>
      <w:lang w:eastAsia="hi-IN" w:bidi="hi-IN"/>
    </w:rPr>
  </w:style>
  <w:style w:type="paragraph" w:styleId="19">
    <w:name w:val="toc 3"/>
    <w:basedOn w:val="0"/>
    <w:next w:val="0"/>
    <w:pPr>
      <w:ind w:leftChars="400" w:left="400"/>
    </w:pPr>
    <w:rPr>
      <w:rFonts w:ascii="Calibri" w:cs="宋体" w:hAnsi="Calibri"/>
      <w:szCs w:val="22"/>
    </w:rPr>
  </w:style>
  <w:style w:type="paragraph" w:styleId="20">
    <w:name w:val="Date"/>
    <w:basedOn w:val="0"/>
    <w:next w:val="0"/>
    <w:pPr>
      <w:ind w:leftChars="2500" w:left="25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sz w:val="18"/>
      <w:szCs w:val="18"/>
    </w:rPr>
  </w:style>
  <w:style w:type="paragraph" w:styleId="23">
    <w:name w:val="envelope return"/>
    <w:basedOn w:val="0"/>
    <w:pPr>
      <w:widowControl w:val="0"/>
      <w:suppressAutoHyphens/>
      <w:jc w:val="left"/>
    </w:pPr>
    <w:rPr>
      <w:rFonts w:ascii="Tinos" w:cs="Albany AMT" w:hAnsi="Tinos"/>
      <w:i/>
      <w:color w:val="000000"/>
      <w:kern w:val="0"/>
      <w:sz w:val="24"/>
      <w:lang w:eastAsia="hi-IN" w:bidi="hi-IN"/>
    </w:rPr>
  </w:style>
  <w:style w:type="paragraph" w:styleId="24">
    <w:name w:val="header"/>
    <w:basedOn w:val="0"/>
    <w:pPr>
      <w:pBdr>
        <w:bottom w:val="single" w:sz="6" w:space="1" w:color="auto"/>
      </w:pBdr>
      <w:tabs>
        <w:tab w:val="center" w:pos="4153"/>
        <w:tab w:val="right" w:pos="8306"/>
      </w:tabs>
      <w:snapToGrid w:val="0"/>
      <w:jc w:val="center"/>
    </w:pPr>
    <w:rPr>
      <w:sz w:val="18"/>
      <w:szCs w:val="18"/>
    </w:rPr>
  </w:style>
  <w:style w:type="paragraph" w:styleId="25">
    <w:name w:val="toc 1"/>
    <w:basedOn w:val="0"/>
    <w:next w:val="0"/>
    <w:pPr>
      <w:tabs>
        <w:tab w:val="left" w:pos="630"/>
        <w:tab w:val="right" w:leader="dot" w:pos="8608"/>
      </w:tabs>
      <w:spacing w:before="120" w:after="120"/>
      <w:ind w:leftChars="134" w:left="136" w:hanging="2"/>
      <w:jc w:val="left"/>
    </w:pPr>
    <w:rPr>
      <w:rFonts w:ascii="方正仿宋_GBK" w:eastAsia="方正仿宋_GBK"/>
      <w:b/>
      <w:bCs/>
      <w:caps/>
      <w:smallCaps w:val="0"/>
      <w:color w:val="000000"/>
      <w:sz w:val="32"/>
      <w:szCs w:val="32"/>
    </w:rPr>
  </w:style>
  <w:style w:type="paragraph" w:styleId="26">
    <w:name w:val="List"/>
    <w:basedOn w:val="18"/>
    <w:rPr>
      <w:rFonts w:ascii="Tinos" w:eastAsia="宋体" w:cs="Albany AMT" w:hAnsi="Tinos"/>
      <w:color w:val="000000"/>
      <w:sz w:val="24"/>
      <w:szCs w:val="24"/>
    </w:rPr>
  </w:style>
  <w:style w:type="paragraph" w:styleId="27">
    <w:name w:val="HTML Preformatted"/>
    <w:basedOn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28">
    <w:name w:val="Normal (Web)"/>
    <w:basedOn w:val="0"/>
    <w:pPr>
      <w:widowControl/>
      <w:spacing w:before="100" w:beforeAutospacing="1" w:after="100" w:afterAutospacing="1"/>
      <w:jc w:val="left"/>
    </w:pPr>
    <w:rPr>
      <w:rFonts w:ascii="宋体" w:cs="宋体"/>
      <w:kern w:val="0"/>
      <w:sz w:val="24"/>
    </w:rPr>
  </w:style>
  <w:style w:type="character" w:styleId="29">
    <w:name w:val="Strong"/>
    <w:basedOn w:val="10"/>
    <w:rPr>
      <w:b/>
      <w:bCs/>
    </w:rPr>
  </w:style>
  <w:style w:type="character" w:styleId="30">
    <w:name w:val="page number"/>
    <w:basedOn w:val="10"/>
  </w:style>
  <w:style w:type="character" w:styleId="31">
    <w:name w:val="FollowedHyperlink"/>
    <w:basedOn w:val="10"/>
    <w:rPr>
      <w:color w:val="800080"/>
      <w:u w:val="single"/>
    </w:rPr>
  </w:style>
  <w:style w:type="character" w:styleId="32">
    <w:name w:val="Emphasis"/>
    <w:rPr>
      <w:i/>
      <w:iCs/>
    </w:rPr>
  </w:style>
  <w:style w:type="character" w:styleId="33">
    <w:name w:val="Hyperlink"/>
    <w:rPr>
      <w:rFonts w:eastAsia="方正仿宋简体"/>
      <w:b/>
      <w:color w:val="0000FF"/>
      <w:sz w:val="32"/>
      <w:u w:val="single"/>
    </w:rPr>
  </w:style>
  <w:style w:type="character" w:styleId="34">
    <w:name w:val="annotation reference"/>
    <w:basedOn w:val="10"/>
    <w:rPr>
      <w:sz w:val="21"/>
      <w:szCs w:val="21"/>
    </w:rPr>
  </w:style>
  <w:style w:type="character" w:styleId="35">
    <w:name w:val="HTML Cite"/>
    <w:basedOn w:val="10"/>
    <w:rPr>
      <w:i/>
      <w:iCs/>
    </w:rPr>
  </w:style>
  <w:style w:type="paragraph" w:customStyle="1" w:styleId="36">
    <w:name w:val="列表段落1"/>
    <w:basedOn w:val="0"/>
    <w:pPr>
      <w:ind w:firstLineChars="200" w:firstLine="200"/>
    </w:pPr>
  </w:style>
  <w:style w:type="character" w:customStyle="1" w:styleId="37">
    <w:name w:val="high-light-bg4"/>
    <w:basedOn w:val="10"/>
  </w:style>
  <w:style w:type="character" w:customStyle="1" w:styleId="38">
    <w:name w:val="Hyperlink.0"/>
    <w:basedOn w:val="33"/>
    <w:rPr>
      <w:rFonts w:eastAsia="方正仿宋简体"/>
      <w:b/>
      <w:color w:val="0000FF"/>
      <w:sz w:val="32"/>
      <w:u w:val="single"/>
    </w:rPr>
  </w:style>
  <w:style w:type="character" w:customStyle="1" w:styleId="39">
    <w:name w:val="hps"/>
    <w:basedOn w:val="10"/>
  </w:style>
  <w:style w:type="character" w:customStyle="1" w:styleId="40">
    <w:name w:val="apple-converted-space"/>
    <w:basedOn w:val="10"/>
  </w:style>
  <w:style w:type="character" w:customStyle="1" w:styleId="41">
    <w:name w:val="short_text"/>
    <w:basedOn w:val="10"/>
  </w:style>
  <w:style w:type="character" w:customStyle="1" w:styleId="42">
    <w:name w:val="nowrap"/>
    <w:basedOn w:val="10"/>
  </w:style>
  <w:style w:type="paragraph" w:customStyle="1" w:styleId="43">
    <w:name w:val="Table Contents"/>
    <w:basedOn w:val="18"/>
  </w:style>
  <w:style w:type="paragraph" w:customStyle="1" w:styleId="44">
    <w:name w:val="default"/>
    <w:basedOn w:val="0"/>
    <w:pPr>
      <w:widowControl/>
      <w:spacing w:before="100" w:beforeAutospacing="1" w:after="100" w:afterAutospacing="1"/>
      <w:jc w:val="left"/>
    </w:pPr>
    <w:rPr>
      <w:rFonts w:ascii="宋体" w:cs="宋体"/>
      <w:kern w:val="0"/>
      <w:sz w:val="24"/>
    </w:rPr>
  </w:style>
  <w:style w:type="paragraph" w:customStyle="1" w:styleId="45">
    <w:name w:val="Quotations"/>
    <w:basedOn w:val="0"/>
    <w:pPr>
      <w:widowControl w:val="0"/>
      <w:suppressAutoHyphens/>
      <w:spacing w:after="283"/>
      <w:ind w:left="567" w:right="567"/>
      <w:jc w:val="left"/>
    </w:pPr>
    <w:rPr>
      <w:rFonts w:ascii="Tinos" w:cs="Albany AMT" w:hAnsi="Tinos"/>
      <w:kern w:val="0"/>
      <w:sz w:val="24"/>
      <w:lang w:eastAsia="hi-IN" w:bidi="hi-IN"/>
    </w:rPr>
  </w:style>
  <w:style w:type="character" w:customStyle="1" w:styleId="46">
    <w:name w:val="Endnote Characters"/>
  </w:style>
  <w:style w:type="character" w:customStyle="1" w:styleId="47">
    <w:name w:val="Footnote Characters"/>
  </w:style>
  <w:style w:type="character" w:customStyle="1" w:styleId="48">
    <w:name w:val="Quotation"/>
    <w:rPr>
      <w:i/>
      <w:iCs/>
      <w:shd w:val="clear" w:color="auto" w:fill="2D93CA"/>
    </w:rPr>
  </w:style>
  <w:style w:type="paragraph" w:customStyle="1" w:styleId="49">
    <w:name w:val="Horizontal Line"/>
    <w:basedOn w:val="0"/>
    <w:next w:val="18"/>
    <w:pPr>
      <w:widowControl w:val="0"/>
      <w:suppressAutoHyphens/>
      <w:spacing w:after="283"/>
      <w:jc w:val="left"/>
    </w:pPr>
    <w:rPr>
      <w:rFonts w:ascii="Tinos" w:cs="Albany AMT" w:hAnsi="Tinos"/>
      <w:color w:val="000000"/>
      <w:kern w:val="0"/>
      <w:sz w:val="12"/>
      <w:lang w:eastAsia="hi-IN" w:bidi="hi-IN"/>
    </w:rPr>
  </w:style>
  <w:style w:type="paragraph" w:customStyle="1" w:styleId="50">
    <w:name w:val="Index"/>
    <w:basedOn w:val="0"/>
    <w:pPr>
      <w:widowControl w:val="0"/>
      <w:suppressLineNumbers/>
      <w:suppressAutoHyphens/>
      <w:jc w:val="left"/>
    </w:pPr>
    <w:rPr>
      <w:rFonts w:ascii="Tinos" w:cs="Albany AMT" w:hAnsi="Tinos"/>
      <w:color w:val="000000"/>
      <w:kern w:val="0"/>
      <w:sz w:val="24"/>
      <w:lang w:eastAsia="hi-IN" w:bidi="hi-IN"/>
    </w:rPr>
  </w:style>
  <w:style w:type="paragraph" w:customStyle="1" w:styleId="51">
    <w:name w:val="题注1"/>
    <w:basedOn w:val="0"/>
    <w:pPr>
      <w:widowControl w:val="0"/>
      <w:suppressLineNumbers/>
      <w:suppressAutoHyphens/>
      <w:spacing w:before="120" w:after="120"/>
      <w:jc w:val="left"/>
    </w:pPr>
    <w:rPr>
      <w:rFonts w:ascii="Tinos" w:cs="Albany AMT" w:hAnsi="Tinos"/>
      <w:i/>
      <w:iCs/>
      <w:color w:val="000000"/>
      <w:kern w:val="0"/>
      <w:sz w:val="24"/>
      <w:lang w:eastAsia="hi-IN" w:bidi="hi-IN"/>
    </w:rPr>
  </w:style>
  <w:style w:type="paragraph" w:customStyle="1" w:styleId="52">
    <w:name w:val="Heading"/>
    <w:basedOn w:val="0"/>
    <w:next w:val="18"/>
    <w:pPr>
      <w:keepNext/>
      <w:widowControl w:val="0"/>
      <w:suppressAutoHyphens/>
      <w:spacing w:before="240" w:after="283"/>
      <w:jc w:val="left"/>
    </w:pPr>
    <w:rPr>
      <w:rFonts w:ascii="Albany" w:eastAsia="HG Mincho Light J" w:cs="Arial Unicode MS" w:hAnsi="Albany"/>
      <w:color w:val="000000"/>
      <w:kern w:val="0"/>
      <w:sz w:val="28"/>
      <w:szCs w:val="28"/>
      <w:lang w:eastAsia="hi-IN" w:bidi="hi-IN"/>
    </w:rPr>
  </w:style>
  <w:style w:type="paragraph" w:customStyle="1" w:styleId="53">
    <w:name w:val="Preformatted Text"/>
    <w:basedOn w:val="0"/>
    <w:pPr>
      <w:widowControl w:val="0"/>
      <w:suppressAutoHyphens/>
      <w:jc w:val="left"/>
    </w:pPr>
    <w:rPr>
      <w:rFonts w:ascii="Cumberland AMT" w:eastAsia="新宋体" w:cs="Cumberland AMT" w:hAnsi="Cumberland AMT"/>
      <w:color w:val="000000"/>
      <w:kern w:val="0"/>
      <w:sz w:val="20"/>
      <w:szCs w:val="20"/>
      <w:lang w:eastAsia="hi-IN" w:bidi="hi-IN"/>
    </w:rPr>
  </w:style>
  <w:style w:type="paragraph" w:customStyle="1" w:styleId="54">
    <w:name w:val="Preformatted Text.prettyprint"/>
    <w:basedOn w:val="53"/>
    <w:pPr>
      <w:pBdr>
        <w:left w:val="single" w:sz="20" w:space="1" w:color="C0C0C0"/>
      </w:pBdr>
    </w:pPr>
    <w:rPr>
      <w:rFonts w:ascii="Consolas" w:eastAsia="Consolas" w:cs="Consolas" w:hAnsi="Consolas"/>
    </w:rPr>
  </w:style>
  <w:style w:type="paragraph" w:customStyle="1" w:styleId="55">
    <w:name w:val="Table Heading"/>
    <w:basedOn w:val="43"/>
    <w:pPr>
      <w:keepLines/>
      <w:widowControl w:val="0"/>
      <w:suppressLineNumbers/>
      <w:suppressAutoHyphens/>
      <w:jc w:val="center"/>
    </w:pPr>
    <w:rPr>
      <w:rFonts w:ascii="Tinos" w:eastAsia="宋体" w:cs="Albany AMT" w:hAnsi="Tinos"/>
      <w:b/>
      <w:bCs/>
      <w:color w:val="000000"/>
      <w:sz w:val="24"/>
      <w:szCs w:val="24"/>
    </w:rPr>
  </w:style>
  <w:style w:type="character" w:customStyle="1" w:styleId="56">
    <w:name w:val="未处理的提及1"/>
    <w:basedOn w:val="10"/>
    <w:rPr>
      <w:color w:val="605E5C"/>
      <w:shd w:val="clear" w:color="auto" w:fill="E1DFDD"/>
    </w:rPr>
  </w:style>
  <w:style w:type="paragraph" w:customStyle="1" w:styleId="57">
    <w:name w:val="修订1"/>
    <w:rPr>
      <w:rFonts w:ascii="Times New Roman" w:eastAsia="宋体" w:cs="Times New Roman" w:hAnsi="Times New Roman"/>
      <w:kern w:val="2"/>
      <w:sz w:val="21"/>
      <w:szCs w:val="24"/>
      <w:lang w:val="en-US" w:eastAsia="zh-CN" w:bidi="ar-SA"/>
    </w:rPr>
  </w:style>
  <w:style w:type="character" w:customStyle="1" w:styleId="58">
    <w:name w:val="未处理的提及2"/>
    <w:basedOn w:val="10"/>
    <w:rPr>
      <w:color w:val="605E5C"/>
      <w:shd w:val="clear" w:color="auto" w:fill="E1DFDD"/>
    </w:rPr>
  </w:style>
  <w:style w:type="character" w:customStyle="1" w:styleId="59">
    <w:name w:val="未处理的提及3"/>
    <w:basedOn w:val="10"/>
    <w:rPr>
      <w:color w:val="605E5C"/>
      <w:shd w:val="clear" w:color="auto" w:fill="E1DFDD"/>
    </w:rPr>
  </w:style>
  <w:style w:type="character" w:customStyle="1" w:styleId="60">
    <w:name w:val="未处理的提及4"/>
    <w:basedOn w:val="10"/>
    <w:rPr>
      <w:color w:val="605E5C"/>
      <w:shd w:val="clear" w:color="auto" w:fill="E1DFDD"/>
    </w:rPr>
  </w:style>
  <w:style w:type="paragraph" w:customStyle="1" w:styleId="61">
    <w:name w:val="TOC 标题1"/>
    <w:basedOn w:val="1"/>
    <w:next w:val="0"/>
    <w:pPr>
      <w:keepNext/>
      <w:keepLines/>
      <w:widowControl/>
      <w:spacing w:before="240" w:after="0" w:line="259" w:lineRule="auto"/>
      <w:jc w:val="left"/>
      <w:outlineLvl w:val="9"/>
    </w:pPr>
    <w:rPr>
      <w:rFonts w:ascii="Cambria" w:cs="宋体" w:hAnsi="Cambria"/>
      <w:b w:val="0"/>
      <w:bCs w:val="0"/>
      <w:color w:val="365F91"/>
      <w:kern w:val="0"/>
      <w:sz w:val="32"/>
      <w:szCs w:val="32"/>
    </w:rPr>
  </w:style>
  <w:style w:type="paragraph" w:customStyle="1" w:styleId="62">
    <w:name w:val="msonormal"/>
    <w:basedOn w:val="0"/>
    <w:pPr>
      <w:widowControl/>
      <w:spacing w:before="100" w:beforeAutospacing="1" w:after="100" w:afterAutospacing="1"/>
      <w:jc w:val="left"/>
    </w:pPr>
    <w:rPr>
      <w:rFonts w:ascii="宋体" w:cs="宋体"/>
      <w:kern w:val="0"/>
      <w:sz w:val="24"/>
    </w:rPr>
  </w:style>
  <w:style w:type="paragraph" w:customStyle="1" w:styleId="63">
    <w:name w:val="ke-inline-block"/>
    <w:basedOn w:val="0"/>
    <w:pPr>
      <w:widowControl/>
      <w:spacing w:before="100" w:beforeAutospacing="1" w:after="100" w:afterAutospacing="1"/>
      <w:jc w:val="left"/>
      <w:textAlignment w:val="center"/>
    </w:pPr>
    <w:rPr>
      <w:rFonts w:ascii="宋体" w:cs="宋体"/>
      <w:kern w:val="0"/>
      <w:sz w:val="24"/>
    </w:rPr>
  </w:style>
  <w:style w:type="paragraph" w:customStyle="1" w:styleId="64">
    <w:name w:val="ke-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65">
    <w:name w:val="ke-icon-source"/>
    <w:basedOn w:val="0"/>
    <w:pPr>
      <w:widowControl/>
      <w:spacing w:before="100" w:beforeAutospacing="1" w:after="100" w:afterAutospacing="1"/>
      <w:jc w:val="left"/>
    </w:pPr>
    <w:rPr>
      <w:rFonts w:ascii="宋体" w:cs="宋体"/>
      <w:kern w:val="0"/>
      <w:sz w:val="24"/>
    </w:rPr>
  </w:style>
  <w:style w:type="paragraph" w:customStyle="1" w:styleId="66">
    <w:name w:val="ke-icon-preview"/>
    <w:basedOn w:val="0"/>
    <w:pPr>
      <w:widowControl/>
      <w:spacing w:before="100" w:beforeAutospacing="1" w:after="100" w:afterAutospacing="1"/>
      <w:jc w:val="left"/>
    </w:pPr>
    <w:rPr>
      <w:rFonts w:ascii="宋体" w:cs="宋体"/>
      <w:kern w:val="0"/>
      <w:sz w:val="24"/>
    </w:rPr>
  </w:style>
  <w:style w:type="paragraph" w:customStyle="1" w:styleId="67">
    <w:name w:val="ke-icon-print"/>
    <w:basedOn w:val="0"/>
    <w:pPr>
      <w:widowControl/>
      <w:spacing w:before="100" w:beforeAutospacing="1" w:after="100" w:afterAutospacing="1"/>
      <w:jc w:val="left"/>
    </w:pPr>
    <w:rPr>
      <w:rFonts w:ascii="宋体" w:cs="宋体"/>
      <w:kern w:val="0"/>
      <w:sz w:val="24"/>
    </w:rPr>
  </w:style>
  <w:style w:type="paragraph" w:customStyle="1" w:styleId="68">
    <w:name w:val="ke-icon-undo"/>
    <w:basedOn w:val="0"/>
    <w:pPr>
      <w:widowControl/>
      <w:spacing w:before="100" w:beforeAutospacing="1" w:after="100" w:afterAutospacing="1"/>
      <w:jc w:val="left"/>
    </w:pPr>
    <w:rPr>
      <w:rFonts w:ascii="宋体" w:cs="宋体"/>
      <w:kern w:val="0"/>
      <w:sz w:val="24"/>
    </w:rPr>
  </w:style>
  <w:style w:type="paragraph" w:customStyle="1" w:styleId="69">
    <w:name w:val="ke-icon-redo"/>
    <w:basedOn w:val="0"/>
    <w:pPr>
      <w:widowControl/>
      <w:spacing w:before="100" w:beforeAutospacing="1" w:after="100" w:afterAutospacing="1"/>
      <w:jc w:val="left"/>
    </w:pPr>
    <w:rPr>
      <w:rFonts w:ascii="宋体" w:cs="宋体"/>
      <w:kern w:val="0"/>
      <w:sz w:val="24"/>
    </w:rPr>
  </w:style>
  <w:style w:type="paragraph" w:customStyle="1" w:styleId="70">
    <w:name w:val="ke-icon-cut"/>
    <w:basedOn w:val="0"/>
    <w:pPr>
      <w:widowControl/>
      <w:spacing w:before="100" w:beforeAutospacing="1" w:after="100" w:afterAutospacing="1"/>
      <w:jc w:val="left"/>
    </w:pPr>
    <w:rPr>
      <w:rFonts w:ascii="宋体" w:cs="宋体"/>
      <w:kern w:val="0"/>
      <w:sz w:val="24"/>
    </w:rPr>
  </w:style>
  <w:style w:type="paragraph" w:customStyle="1" w:styleId="71">
    <w:name w:val="ke-icon-copy"/>
    <w:basedOn w:val="0"/>
    <w:pPr>
      <w:widowControl/>
      <w:spacing w:before="100" w:beforeAutospacing="1" w:after="100" w:afterAutospacing="1"/>
      <w:jc w:val="left"/>
    </w:pPr>
    <w:rPr>
      <w:rFonts w:ascii="宋体" w:cs="宋体"/>
      <w:kern w:val="0"/>
      <w:sz w:val="24"/>
    </w:rPr>
  </w:style>
  <w:style w:type="paragraph" w:customStyle="1" w:styleId="72">
    <w:name w:val="ke-icon-paste"/>
    <w:basedOn w:val="0"/>
    <w:pPr>
      <w:widowControl/>
      <w:spacing w:before="100" w:beforeAutospacing="1" w:after="100" w:afterAutospacing="1"/>
      <w:jc w:val="left"/>
    </w:pPr>
    <w:rPr>
      <w:rFonts w:ascii="宋体" w:cs="宋体"/>
      <w:kern w:val="0"/>
      <w:sz w:val="24"/>
    </w:rPr>
  </w:style>
  <w:style w:type="paragraph" w:customStyle="1" w:styleId="73">
    <w:name w:val="ke-icon-selectall"/>
    <w:basedOn w:val="0"/>
    <w:pPr>
      <w:widowControl/>
      <w:spacing w:before="100" w:beforeAutospacing="1" w:after="100" w:afterAutospacing="1"/>
      <w:jc w:val="left"/>
    </w:pPr>
    <w:rPr>
      <w:rFonts w:ascii="宋体" w:cs="宋体"/>
      <w:kern w:val="0"/>
      <w:sz w:val="24"/>
    </w:rPr>
  </w:style>
  <w:style w:type="paragraph" w:customStyle="1" w:styleId="74">
    <w:name w:val="ke-icon-justifyleft"/>
    <w:basedOn w:val="0"/>
    <w:pPr>
      <w:widowControl/>
      <w:spacing w:before="100" w:beforeAutospacing="1" w:after="100" w:afterAutospacing="1"/>
      <w:jc w:val="left"/>
    </w:pPr>
    <w:rPr>
      <w:rFonts w:ascii="宋体" w:cs="宋体"/>
      <w:kern w:val="0"/>
      <w:sz w:val="24"/>
    </w:rPr>
  </w:style>
  <w:style w:type="paragraph" w:customStyle="1" w:styleId="75">
    <w:name w:val="ke-icon-justifycenter"/>
    <w:basedOn w:val="0"/>
    <w:pPr>
      <w:widowControl/>
      <w:spacing w:before="100" w:beforeAutospacing="1" w:after="100" w:afterAutospacing="1"/>
      <w:jc w:val="left"/>
    </w:pPr>
    <w:rPr>
      <w:rFonts w:ascii="宋体" w:cs="宋体"/>
      <w:kern w:val="0"/>
      <w:sz w:val="24"/>
    </w:rPr>
  </w:style>
  <w:style w:type="paragraph" w:customStyle="1" w:styleId="76">
    <w:name w:val="ke-icon-justifyright"/>
    <w:basedOn w:val="0"/>
    <w:pPr>
      <w:widowControl/>
      <w:spacing w:before="100" w:beforeAutospacing="1" w:after="100" w:afterAutospacing="1"/>
      <w:jc w:val="left"/>
    </w:pPr>
    <w:rPr>
      <w:rFonts w:ascii="宋体" w:cs="宋体"/>
      <w:kern w:val="0"/>
      <w:sz w:val="24"/>
    </w:rPr>
  </w:style>
  <w:style w:type="paragraph" w:customStyle="1" w:styleId="77">
    <w:name w:val="ke-icon-justifyfull"/>
    <w:basedOn w:val="0"/>
    <w:pPr>
      <w:widowControl/>
      <w:spacing w:before="100" w:beforeAutospacing="1" w:after="100" w:afterAutospacing="1"/>
      <w:jc w:val="left"/>
    </w:pPr>
    <w:rPr>
      <w:rFonts w:ascii="宋体" w:cs="宋体"/>
      <w:kern w:val="0"/>
      <w:sz w:val="24"/>
    </w:rPr>
  </w:style>
  <w:style w:type="paragraph" w:customStyle="1" w:styleId="78">
    <w:name w:val="ke-icon-insertorderedlist"/>
    <w:basedOn w:val="0"/>
    <w:pPr>
      <w:widowControl/>
      <w:spacing w:before="100" w:beforeAutospacing="1" w:after="100" w:afterAutospacing="1"/>
      <w:jc w:val="left"/>
    </w:pPr>
    <w:rPr>
      <w:rFonts w:ascii="宋体" w:cs="宋体"/>
      <w:kern w:val="0"/>
      <w:sz w:val="24"/>
    </w:rPr>
  </w:style>
  <w:style w:type="paragraph" w:customStyle="1" w:styleId="79">
    <w:name w:val="ke-icon-insertunorderedlist"/>
    <w:basedOn w:val="0"/>
    <w:pPr>
      <w:widowControl/>
      <w:spacing w:before="100" w:beforeAutospacing="1" w:after="100" w:afterAutospacing="1"/>
      <w:jc w:val="left"/>
    </w:pPr>
    <w:rPr>
      <w:rFonts w:ascii="宋体" w:cs="宋体"/>
      <w:kern w:val="0"/>
      <w:sz w:val="24"/>
    </w:rPr>
  </w:style>
  <w:style w:type="paragraph" w:customStyle="1" w:styleId="80">
    <w:name w:val="ke-icon-indent"/>
    <w:basedOn w:val="0"/>
    <w:pPr>
      <w:widowControl/>
      <w:spacing w:before="100" w:beforeAutospacing="1" w:after="100" w:afterAutospacing="1"/>
      <w:jc w:val="left"/>
    </w:pPr>
    <w:rPr>
      <w:rFonts w:ascii="宋体" w:cs="宋体"/>
      <w:kern w:val="0"/>
      <w:sz w:val="24"/>
    </w:rPr>
  </w:style>
  <w:style w:type="paragraph" w:customStyle="1" w:styleId="81">
    <w:name w:val="ke-icon-outdent"/>
    <w:basedOn w:val="0"/>
    <w:pPr>
      <w:widowControl/>
      <w:spacing w:before="100" w:beforeAutospacing="1" w:after="100" w:afterAutospacing="1"/>
      <w:jc w:val="left"/>
    </w:pPr>
    <w:rPr>
      <w:rFonts w:ascii="宋体" w:cs="宋体"/>
      <w:kern w:val="0"/>
      <w:sz w:val="24"/>
    </w:rPr>
  </w:style>
  <w:style w:type="paragraph" w:customStyle="1" w:styleId="82">
    <w:name w:val="ke-icon-subscript"/>
    <w:basedOn w:val="0"/>
    <w:pPr>
      <w:widowControl/>
      <w:spacing w:before="100" w:beforeAutospacing="1" w:after="100" w:afterAutospacing="1"/>
      <w:jc w:val="left"/>
    </w:pPr>
    <w:rPr>
      <w:rFonts w:ascii="宋体" w:cs="宋体"/>
      <w:kern w:val="0"/>
      <w:sz w:val="24"/>
    </w:rPr>
  </w:style>
  <w:style w:type="paragraph" w:customStyle="1" w:styleId="83">
    <w:name w:val="ke-icon-superscript"/>
    <w:basedOn w:val="0"/>
    <w:pPr>
      <w:widowControl/>
      <w:spacing w:before="100" w:beforeAutospacing="1" w:after="100" w:afterAutospacing="1"/>
      <w:jc w:val="left"/>
    </w:pPr>
    <w:rPr>
      <w:rFonts w:ascii="宋体" w:cs="宋体"/>
      <w:kern w:val="0"/>
      <w:sz w:val="24"/>
    </w:rPr>
  </w:style>
  <w:style w:type="paragraph" w:customStyle="1" w:styleId="84">
    <w:name w:val="ke-icon-date"/>
    <w:basedOn w:val="0"/>
    <w:pPr>
      <w:widowControl/>
      <w:spacing w:before="100" w:beforeAutospacing="1" w:after="100" w:afterAutospacing="1"/>
      <w:jc w:val="left"/>
    </w:pPr>
    <w:rPr>
      <w:rFonts w:ascii="宋体" w:cs="宋体"/>
      <w:kern w:val="0"/>
      <w:sz w:val="24"/>
    </w:rPr>
  </w:style>
  <w:style w:type="paragraph" w:customStyle="1" w:styleId="85">
    <w:name w:val="ke-icon-time"/>
    <w:basedOn w:val="0"/>
    <w:pPr>
      <w:widowControl/>
      <w:spacing w:before="100" w:beforeAutospacing="1" w:after="100" w:afterAutospacing="1"/>
      <w:jc w:val="left"/>
    </w:pPr>
    <w:rPr>
      <w:rFonts w:ascii="宋体" w:cs="宋体"/>
      <w:kern w:val="0"/>
      <w:sz w:val="24"/>
    </w:rPr>
  </w:style>
  <w:style w:type="paragraph" w:customStyle="1" w:styleId="86">
    <w:name w:val="ke-icon-formatblock"/>
    <w:basedOn w:val="0"/>
    <w:pPr>
      <w:widowControl/>
      <w:spacing w:before="100" w:beforeAutospacing="1" w:after="100" w:afterAutospacing="1"/>
      <w:jc w:val="left"/>
    </w:pPr>
    <w:rPr>
      <w:rFonts w:ascii="宋体" w:cs="宋体"/>
      <w:kern w:val="0"/>
      <w:sz w:val="24"/>
    </w:rPr>
  </w:style>
  <w:style w:type="paragraph" w:customStyle="1" w:styleId="87">
    <w:name w:val="ke-icon-fontname"/>
    <w:basedOn w:val="0"/>
    <w:pPr>
      <w:widowControl/>
      <w:spacing w:before="100" w:beforeAutospacing="1" w:after="100" w:afterAutospacing="1"/>
      <w:jc w:val="left"/>
    </w:pPr>
    <w:rPr>
      <w:rFonts w:ascii="宋体" w:cs="宋体"/>
      <w:kern w:val="0"/>
      <w:sz w:val="24"/>
    </w:rPr>
  </w:style>
  <w:style w:type="paragraph" w:customStyle="1" w:styleId="88">
    <w:name w:val="ke-icon-fontsize"/>
    <w:basedOn w:val="0"/>
    <w:pPr>
      <w:widowControl/>
      <w:spacing w:before="100" w:beforeAutospacing="1" w:after="100" w:afterAutospacing="1"/>
      <w:jc w:val="left"/>
    </w:pPr>
    <w:rPr>
      <w:rFonts w:ascii="宋体" w:cs="宋体"/>
      <w:kern w:val="0"/>
      <w:sz w:val="24"/>
    </w:rPr>
  </w:style>
  <w:style w:type="paragraph" w:customStyle="1" w:styleId="89">
    <w:name w:val="ke-icon-forecolor"/>
    <w:basedOn w:val="0"/>
    <w:pPr>
      <w:widowControl/>
      <w:spacing w:before="100" w:beforeAutospacing="1" w:after="100" w:afterAutospacing="1"/>
      <w:jc w:val="left"/>
    </w:pPr>
    <w:rPr>
      <w:rFonts w:ascii="宋体" w:cs="宋体"/>
      <w:kern w:val="0"/>
      <w:sz w:val="24"/>
    </w:rPr>
  </w:style>
  <w:style w:type="paragraph" w:customStyle="1" w:styleId="90">
    <w:name w:val="ke-icon-hilitecolor"/>
    <w:basedOn w:val="0"/>
    <w:pPr>
      <w:widowControl/>
      <w:spacing w:before="100" w:beforeAutospacing="1" w:after="100" w:afterAutospacing="1"/>
      <w:jc w:val="left"/>
    </w:pPr>
    <w:rPr>
      <w:rFonts w:ascii="宋体" w:cs="宋体"/>
      <w:kern w:val="0"/>
      <w:sz w:val="24"/>
    </w:rPr>
  </w:style>
  <w:style w:type="paragraph" w:customStyle="1" w:styleId="91">
    <w:name w:val="ke-icon-bold"/>
    <w:basedOn w:val="0"/>
    <w:pPr>
      <w:widowControl/>
      <w:spacing w:before="100" w:beforeAutospacing="1" w:after="100" w:afterAutospacing="1"/>
      <w:jc w:val="left"/>
    </w:pPr>
    <w:rPr>
      <w:rFonts w:ascii="宋体" w:cs="宋体"/>
      <w:kern w:val="0"/>
      <w:sz w:val="24"/>
    </w:rPr>
  </w:style>
  <w:style w:type="paragraph" w:customStyle="1" w:styleId="92">
    <w:name w:val="ke-icon-italic"/>
    <w:basedOn w:val="0"/>
    <w:pPr>
      <w:widowControl/>
      <w:spacing w:before="100" w:beforeAutospacing="1" w:after="100" w:afterAutospacing="1"/>
      <w:jc w:val="left"/>
    </w:pPr>
    <w:rPr>
      <w:rFonts w:ascii="宋体" w:cs="宋体"/>
      <w:kern w:val="0"/>
      <w:sz w:val="24"/>
    </w:rPr>
  </w:style>
  <w:style w:type="paragraph" w:customStyle="1" w:styleId="93">
    <w:name w:val="ke-icon-underline"/>
    <w:basedOn w:val="0"/>
    <w:pPr>
      <w:widowControl/>
      <w:spacing w:before="100" w:beforeAutospacing="1" w:after="100" w:afterAutospacing="1"/>
      <w:jc w:val="left"/>
    </w:pPr>
    <w:rPr>
      <w:rFonts w:ascii="宋体" w:cs="宋体"/>
      <w:kern w:val="0"/>
      <w:sz w:val="24"/>
    </w:rPr>
  </w:style>
  <w:style w:type="paragraph" w:customStyle="1" w:styleId="94">
    <w:name w:val="ke-icon-strikethrough"/>
    <w:basedOn w:val="0"/>
    <w:pPr>
      <w:widowControl/>
      <w:spacing w:before="100" w:beforeAutospacing="1" w:after="100" w:afterAutospacing="1"/>
      <w:jc w:val="left"/>
    </w:pPr>
    <w:rPr>
      <w:rFonts w:ascii="宋体" w:cs="宋体"/>
      <w:kern w:val="0"/>
      <w:sz w:val="24"/>
    </w:rPr>
  </w:style>
  <w:style w:type="paragraph" w:customStyle="1" w:styleId="95">
    <w:name w:val="ke-icon-removeformat"/>
    <w:basedOn w:val="0"/>
    <w:pPr>
      <w:widowControl/>
      <w:spacing w:before="100" w:beforeAutospacing="1" w:after="100" w:afterAutospacing="1"/>
      <w:jc w:val="left"/>
    </w:pPr>
    <w:rPr>
      <w:rFonts w:ascii="宋体" w:cs="宋体"/>
      <w:kern w:val="0"/>
      <w:sz w:val="24"/>
    </w:rPr>
  </w:style>
  <w:style w:type="paragraph" w:customStyle="1" w:styleId="96">
    <w:name w:val="ke-icon-image"/>
    <w:basedOn w:val="0"/>
    <w:pPr>
      <w:widowControl/>
      <w:spacing w:before="100" w:beforeAutospacing="1" w:after="100" w:afterAutospacing="1"/>
      <w:jc w:val="left"/>
    </w:pPr>
    <w:rPr>
      <w:rFonts w:ascii="宋体" w:cs="宋体"/>
      <w:kern w:val="0"/>
      <w:sz w:val="24"/>
    </w:rPr>
  </w:style>
  <w:style w:type="paragraph" w:customStyle="1" w:styleId="97">
    <w:name w:val="ke-icon-flash"/>
    <w:basedOn w:val="0"/>
    <w:pPr>
      <w:widowControl/>
      <w:spacing w:before="100" w:beforeAutospacing="1" w:after="100" w:afterAutospacing="1"/>
      <w:jc w:val="left"/>
    </w:pPr>
    <w:rPr>
      <w:rFonts w:ascii="宋体" w:cs="宋体"/>
      <w:kern w:val="0"/>
      <w:sz w:val="24"/>
    </w:rPr>
  </w:style>
  <w:style w:type="paragraph" w:customStyle="1" w:styleId="98">
    <w:name w:val="ke-icon-media"/>
    <w:basedOn w:val="0"/>
    <w:pPr>
      <w:widowControl/>
      <w:spacing w:before="100" w:beforeAutospacing="1" w:after="100" w:afterAutospacing="1"/>
      <w:jc w:val="left"/>
    </w:pPr>
    <w:rPr>
      <w:rFonts w:ascii="宋体" w:cs="宋体"/>
      <w:kern w:val="0"/>
      <w:sz w:val="24"/>
    </w:rPr>
  </w:style>
  <w:style w:type="paragraph" w:customStyle="1" w:styleId="99">
    <w:name w:val="ke-icon-div"/>
    <w:basedOn w:val="0"/>
    <w:pPr>
      <w:widowControl/>
      <w:spacing w:before="100" w:beforeAutospacing="1" w:after="100" w:afterAutospacing="1"/>
      <w:jc w:val="left"/>
    </w:pPr>
    <w:rPr>
      <w:rFonts w:ascii="宋体" w:cs="宋体"/>
      <w:kern w:val="0"/>
      <w:sz w:val="24"/>
    </w:rPr>
  </w:style>
  <w:style w:type="paragraph" w:customStyle="1" w:styleId="100">
    <w:name w:val="ke-icon-formula"/>
    <w:basedOn w:val="0"/>
    <w:pPr>
      <w:widowControl/>
      <w:spacing w:before="100" w:beforeAutospacing="1" w:after="100" w:afterAutospacing="1"/>
      <w:jc w:val="left"/>
    </w:pPr>
    <w:rPr>
      <w:rFonts w:ascii="宋体" w:cs="宋体"/>
      <w:kern w:val="0"/>
      <w:sz w:val="24"/>
    </w:rPr>
  </w:style>
  <w:style w:type="paragraph" w:customStyle="1" w:styleId="101">
    <w:name w:val="ke-icon-hr"/>
    <w:basedOn w:val="0"/>
    <w:pPr>
      <w:widowControl/>
      <w:spacing w:before="100" w:beforeAutospacing="1" w:after="100" w:afterAutospacing="1"/>
      <w:jc w:val="left"/>
    </w:pPr>
    <w:rPr>
      <w:rFonts w:ascii="宋体" w:cs="宋体"/>
      <w:kern w:val="0"/>
      <w:sz w:val="24"/>
    </w:rPr>
  </w:style>
  <w:style w:type="paragraph" w:customStyle="1" w:styleId="102">
    <w:name w:val="ke-icon-emoticons"/>
    <w:basedOn w:val="0"/>
    <w:pPr>
      <w:widowControl/>
      <w:spacing w:before="100" w:beforeAutospacing="1" w:after="100" w:afterAutospacing="1"/>
      <w:jc w:val="left"/>
    </w:pPr>
    <w:rPr>
      <w:rFonts w:ascii="宋体" w:cs="宋体"/>
      <w:kern w:val="0"/>
      <w:sz w:val="24"/>
    </w:rPr>
  </w:style>
  <w:style w:type="paragraph" w:customStyle="1" w:styleId="103">
    <w:name w:val="ke-icon-link"/>
    <w:basedOn w:val="0"/>
    <w:pPr>
      <w:widowControl/>
      <w:spacing w:before="100" w:beforeAutospacing="1" w:after="100" w:afterAutospacing="1"/>
      <w:jc w:val="left"/>
    </w:pPr>
    <w:rPr>
      <w:rFonts w:ascii="宋体" w:cs="宋体"/>
      <w:kern w:val="0"/>
      <w:sz w:val="24"/>
    </w:rPr>
  </w:style>
  <w:style w:type="paragraph" w:customStyle="1" w:styleId="104">
    <w:name w:val="ke-icon-unlink"/>
    <w:basedOn w:val="0"/>
    <w:pPr>
      <w:widowControl/>
      <w:spacing w:before="100" w:beforeAutospacing="1" w:after="100" w:afterAutospacing="1"/>
      <w:jc w:val="left"/>
    </w:pPr>
    <w:rPr>
      <w:rFonts w:ascii="宋体" w:cs="宋体"/>
      <w:kern w:val="0"/>
      <w:sz w:val="24"/>
    </w:rPr>
  </w:style>
  <w:style w:type="paragraph" w:customStyle="1" w:styleId="105">
    <w:name w:val="ke-icon-fullscreen"/>
    <w:basedOn w:val="0"/>
    <w:pPr>
      <w:widowControl/>
      <w:spacing w:before="100" w:beforeAutospacing="1" w:after="100" w:afterAutospacing="1"/>
      <w:jc w:val="left"/>
    </w:pPr>
    <w:rPr>
      <w:rFonts w:ascii="宋体" w:cs="宋体"/>
      <w:kern w:val="0"/>
      <w:sz w:val="24"/>
    </w:rPr>
  </w:style>
  <w:style w:type="paragraph" w:customStyle="1" w:styleId="106">
    <w:name w:val="ke-icon-about"/>
    <w:basedOn w:val="0"/>
    <w:pPr>
      <w:widowControl/>
      <w:spacing w:before="100" w:beforeAutospacing="1" w:after="100" w:afterAutospacing="1"/>
      <w:jc w:val="left"/>
    </w:pPr>
    <w:rPr>
      <w:rFonts w:ascii="宋体" w:cs="宋体"/>
      <w:kern w:val="0"/>
      <w:sz w:val="24"/>
    </w:rPr>
  </w:style>
  <w:style w:type="paragraph" w:customStyle="1" w:styleId="107">
    <w:name w:val="ke-icon-plainpaste"/>
    <w:basedOn w:val="0"/>
    <w:pPr>
      <w:widowControl/>
      <w:spacing w:before="100" w:beforeAutospacing="1" w:after="100" w:afterAutospacing="1"/>
      <w:jc w:val="left"/>
    </w:pPr>
    <w:rPr>
      <w:rFonts w:ascii="宋体" w:cs="宋体"/>
      <w:kern w:val="0"/>
      <w:sz w:val="24"/>
    </w:rPr>
  </w:style>
  <w:style w:type="paragraph" w:customStyle="1" w:styleId="108">
    <w:name w:val="ke-icon-wordpaste"/>
    <w:basedOn w:val="0"/>
    <w:pPr>
      <w:widowControl/>
      <w:spacing w:before="100" w:beforeAutospacing="1" w:after="100" w:afterAutospacing="1"/>
      <w:jc w:val="left"/>
    </w:pPr>
    <w:rPr>
      <w:rFonts w:ascii="宋体" w:cs="宋体"/>
      <w:kern w:val="0"/>
      <w:sz w:val="24"/>
    </w:rPr>
  </w:style>
  <w:style w:type="paragraph" w:customStyle="1" w:styleId="109">
    <w:name w:val="ke-icon-table"/>
    <w:basedOn w:val="0"/>
    <w:pPr>
      <w:widowControl/>
      <w:spacing w:before="100" w:beforeAutospacing="1" w:after="100" w:afterAutospacing="1"/>
      <w:jc w:val="left"/>
    </w:pPr>
    <w:rPr>
      <w:rFonts w:ascii="宋体" w:cs="宋体"/>
      <w:kern w:val="0"/>
      <w:sz w:val="24"/>
    </w:rPr>
  </w:style>
  <w:style w:type="paragraph" w:customStyle="1" w:styleId="110">
    <w:name w:val="ke-icon-tablemenu"/>
    <w:basedOn w:val="0"/>
    <w:pPr>
      <w:widowControl/>
      <w:spacing w:before="100" w:beforeAutospacing="1" w:after="100" w:afterAutospacing="1"/>
      <w:jc w:val="left"/>
    </w:pPr>
    <w:rPr>
      <w:rFonts w:ascii="宋体" w:cs="宋体"/>
      <w:kern w:val="0"/>
      <w:sz w:val="24"/>
    </w:rPr>
  </w:style>
  <w:style w:type="paragraph" w:customStyle="1" w:styleId="111">
    <w:name w:val="ke-icon-tableinsert"/>
    <w:basedOn w:val="0"/>
    <w:pPr>
      <w:widowControl/>
      <w:spacing w:before="100" w:beforeAutospacing="1" w:after="100" w:afterAutospacing="1"/>
      <w:jc w:val="left"/>
    </w:pPr>
    <w:rPr>
      <w:rFonts w:ascii="宋体" w:cs="宋体"/>
      <w:kern w:val="0"/>
      <w:sz w:val="24"/>
    </w:rPr>
  </w:style>
  <w:style w:type="paragraph" w:customStyle="1" w:styleId="112">
    <w:name w:val="ke-icon-tabledelete"/>
    <w:basedOn w:val="0"/>
    <w:pPr>
      <w:widowControl/>
      <w:spacing w:before="100" w:beforeAutospacing="1" w:after="100" w:afterAutospacing="1"/>
      <w:jc w:val="left"/>
    </w:pPr>
    <w:rPr>
      <w:rFonts w:ascii="宋体" w:cs="宋体"/>
      <w:kern w:val="0"/>
      <w:sz w:val="24"/>
    </w:rPr>
  </w:style>
  <w:style w:type="paragraph" w:customStyle="1" w:styleId="113">
    <w:name w:val="ke-icon-tablecolinsertleft"/>
    <w:basedOn w:val="0"/>
    <w:pPr>
      <w:widowControl/>
      <w:spacing w:before="100" w:beforeAutospacing="1" w:after="100" w:afterAutospacing="1"/>
      <w:jc w:val="left"/>
    </w:pPr>
    <w:rPr>
      <w:rFonts w:ascii="宋体" w:cs="宋体"/>
      <w:kern w:val="0"/>
      <w:sz w:val="24"/>
    </w:rPr>
  </w:style>
  <w:style w:type="paragraph" w:customStyle="1" w:styleId="114">
    <w:name w:val="ke-icon-tablecolinsertright"/>
    <w:basedOn w:val="0"/>
    <w:pPr>
      <w:widowControl/>
      <w:spacing w:before="100" w:beforeAutospacing="1" w:after="100" w:afterAutospacing="1"/>
      <w:jc w:val="left"/>
    </w:pPr>
    <w:rPr>
      <w:rFonts w:ascii="宋体" w:cs="宋体"/>
      <w:kern w:val="0"/>
      <w:sz w:val="24"/>
    </w:rPr>
  </w:style>
  <w:style w:type="paragraph" w:customStyle="1" w:styleId="115">
    <w:name w:val="ke-icon-tablerowinsertabove"/>
    <w:basedOn w:val="0"/>
    <w:pPr>
      <w:widowControl/>
      <w:spacing w:before="100" w:beforeAutospacing="1" w:after="100" w:afterAutospacing="1"/>
      <w:jc w:val="left"/>
    </w:pPr>
    <w:rPr>
      <w:rFonts w:ascii="宋体" w:cs="宋体"/>
      <w:kern w:val="0"/>
      <w:sz w:val="24"/>
    </w:rPr>
  </w:style>
  <w:style w:type="paragraph" w:customStyle="1" w:styleId="116">
    <w:name w:val="ke-icon-tablerowinsertbelow"/>
    <w:basedOn w:val="0"/>
    <w:pPr>
      <w:widowControl/>
      <w:spacing w:before="100" w:beforeAutospacing="1" w:after="100" w:afterAutospacing="1"/>
      <w:jc w:val="left"/>
    </w:pPr>
    <w:rPr>
      <w:rFonts w:ascii="宋体" w:cs="宋体"/>
      <w:kern w:val="0"/>
      <w:sz w:val="24"/>
    </w:rPr>
  </w:style>
  <w:style w:type="paragraph" w:customStyle="1" w:styleId="117">
    <w:name w:val="ke-icon-tablecoldelete"/>
    <w:basedOn w:val="0"/>
    <w:pPr>
      <w:widowControl/>
      <w:spacing w:before="100" w:beforeAutospacing="1" w:after="100" w:afterAutospacing="1"/>
      <w:jc w:val="left"/>
    </w:pPr>
    <w:rPr>
      <w:rFonts w:ascii="宋体" w:cs="宋体"/>
      <w:kern w:val="0"/>
      <w:sz w:val="24"/>
    </w:rPr>
  </w:style>
  <w:style w:type="paragraph" w:customStyle="1" w:styleId="118">
    <w:name w:val="ke-icon-tablerowdelete"/>
    <w:basedOn w:val="0"/>
    <w:pPr>
      <w:widowControl/>
      <w:spacing w:before="100" w:beforeAutospacing="1" w:after="100" w:afterAutospacing="1"/>
      <w:jc w:val="left"/>
    </w:pPr>
    <w:rPr>
      <w:rFonts w:ascii="宋体" w:cs="宋体"/>
      <w:kern w:val="0"/>
      <w:sz w:val="24"/>
    </w:rPr>
  </w:style>
  <w:style w:type="paragraph" w:customStyle="1" w:styleId="119">
    <w:name w:val="ke-icon-tablecellprop"/>
    <w:basedOn w:val="0"/>
    <w:pPr>
      <w:widowControl/>
      <w:spacing w:before="100" w:beforeAutospacing="1" w:after="100" w:afterAutospacing="1"/>
      <w:jc w:val="left"/>
    </w:pPr>
    <w:rPr>
      <w:rFonts w:ascii="宋体" w:cs="宋体"/>
      <w:kern w:val="0"/>
      <w:sz w:val="24"/>
    </w:rPr>
  </w:style>
  <w:style w:type="paragraph" w:customStyle="1" w:styleId="120">
    <w:name w:val="ke-icon-tableprop"/>
    <w:basedOn w:val="0"/>
    <w:pPr>
      <w:widowControl/>
      <w:spacing w:before="100" w:beforeAutospacing="1" w:after="100" w:afterAutospacing="1"/>
      <w:jc w:val="left"/>
    </w:pPr>
    <w:rPr>
      <w:rFonts w:ascii="宋体" w:cs="宋体"/>
      <w:kern w:val="0"/>
      <w:sz w:val="24"/>
    </w:rPr>
  </w:style>
  <w:style w:type="paragraph" w:customStyle="1" w:styleId="121">
    <w:name w:val="ke-icon-checked"/>
    <w:basedOn w:val="0"/>
    <w:pPr>
      <w:widowControl/>
      <w:spacing w:before="100" w:beforeAutospacing="1" w:after="100" w:afterAutospacing="1"/>
      <w:jc w:val="left"/>
    </w:pPr>
    <w:rPr>
      <w:rFonts w:ascii="宋体" w:cs="宋体"/>
      <w:kern w:val="0"/>
      <w:sz w:val="24"/>
    </w:rPr>
  </w:style>
  <w:style w:type="paragraph" w:customStyle="1" w:styleId="122">
    <w:name w:val="ke-icon-code"/>
    <w:basedOn w:val="0"/>
    <w:pPr>
      <w:widowControl/>
      <w:spacing w:before="100" w:beforeAutospacing="1" w:after="100" w:afterAutospacing="1"/>
      <w:jc w:val="left"/>
    </w:pPr>
    <w:rPr>
      <w:rFonts w:ascii="宋体" w:cs="宋体"/>
      <w:kern w:val="0"/>
      <w:sz w:val="24"/>
    </w:rPr>
  </w:style>
  <w:style w:type="paragraph" w:customStyle="1" w:styleId="123">
    <w:name w:val="ke-icon-map"/>
    <w:basedOn w:val="0"/>
    <w:pPr>
      <w:widowControl/>
      <w:spacing w:before="100" w:beforeAutospacing="1" w:after="100" w:afterAutospacing="1"/>
      <w:jc w:val="left"/>
    </w:pPr>
    <w:rPr>
      <w:rFonts w:ascii="宋体" w:cs="宋体"/>
      <w:kern w:val="0"/>
      <w:sz w:val="24"/>
    </w:rPr>
  </w:style>
  <w:style w:type="paragraph" w:customStyle="1" w:styleId="124">
    <w:name w:val="ke-icon-baidumap"/>
    <w:basedOn w:val="0"/>
    <w:pPr>
      <w:widowControl/>
      <w:spacing w:before="100" w:beforeAutospacing="1" w:after="100" w:afterAutospacing="1"/>
      <w:jc w:val="left"/>
    </w:pPr>
    <w:rPr>
      <w:rFonts w:ascii="宋体" w:cs="宋体"/>
      <w:kern w:val="0"/>
      <w:sz w:val="24"/>
    </w:rPr>
  </w:style>
  <w:style w:type="paragraph" w:customStyle="1" w:styleId="125">
    <w:name w:val="ke-icon-lineheight"/>
    <w:basedOn w:val="0"/>
    <w:pPr>
      <w:widowControl/>
      <w:spacing w:before="100" w:beforeAutospacing="1" w:after="100" w:afterAutospacing="1"/>
      <w:jc w:val="left"/>
    </w:pPr>
    <w:rPr>
      <w:rFonts w:ascii="宋体" w:cs="宋体"/>
      <w:kern w:val="0"/>
      <w:sz w:val="24"/>
    </w:rPr>
  </w:style>
  <w:style w:type="paragraph" w:customStyle="1" w:styleId="126">
    <w:name w:val="ke-icon-clearhtml"/>
    <w:basedOn w:val="0"/>
    <w:pPr>
      <w:widowControl/>
      <w:spacing w:before="100" w:beforeAutospacing="1" w:after="100" w:afterAutospacing="1"/>
      <w:jc w:val="left"/>
    </w:pPr>
    <w:rPr>
      <w:rFonts w:ascii="宋体" w:cs="宋体"/>
      <w:kern w:val="0"/>
      <w:sz w:val="24"/>
    </w:rPr>
  </w:style>
  <w:style w:type="paragraph" w:customStyle="1" w:styleId="127">
    <w:name w:val="ke-icon-pagebreak"/>
    <w:basedOn w:val="0"/>
    <w:pPr>
      <w:widowControl/>
      <w:spacing w:before="100" w:beforeAutospacing="1" w:after="100" w:afterAutospacing="1"/>
      <w:jc w:val="left"/>
    </w:pPr>
    <w:rPr>
      <w:rFonts w:ascii="宋体" w:cs="宋体"/>
      <w:kern w:val="0"/>
      <w:sz w:val="24"/>
    </w:rPr>
  </w:style>
  <w:style w:type="paragraph" w:customStyle="1" w:styleId="128">
    <w:name w:val="ke-icon-insertfile"/>
    <w:basedOn w:val="0"/>
    <w:pPr>
      <w:widowControl/>
      <w:spacing w:before="100" w:beforeAutospacing="1" w:after="100" w:afterAutospacing="1"/>
      <w:jc w:val="left"/>
    </w:pPr>
    <w:rPr>
      <w:rFonts w:ascii="宋体" w:cs="宋体"/>
      <w:kern w:val="0"/>
      <w:sz w:val="24"/>
    </w:rPr>
  </w:style>
  <w:style w:type="paragraph" w:customStyle="1" w:styleId="129">
    <w:name w:val="ke-icon-quickformat"/>
    <w:basedOn w:val="0"/>
    <w:pPr>
      <w:widowControl/>
      <w:spacing w:before="100" w:beforeAutospacing="1" w:after="100" w:afterAutospacing="1"/>
      <w:jc w:val="left"/>
    </w:pPr>
    <w:rPr>
      <w:rFonts w:ascii="宋体" w:cs="宋体"/>
      <w:kern w:val="0"/>
      <w:sz w:val="24"/>
    </w:rPr>
  </w:style>
  <w:style w:type="paragraph" w:customStyle="1" w:styleId="130">
    <w:name w:val="ke-icon-template"/>
    <w:basedOn w:val="0"/>
    <w:pPr>
      <w:widowControl/>
      <w:spacing w:before="100" w:beforeAutospacing="1" w:after="100" w:afterAutospacing="1"/>
      <w:jc w:val="left"/>
    </w:pPr>
    <w:rPr>
      <w:rFonts w:ascii="宋体" w:cs="宋体"/>
      <w:kern w:val="0"/>
      <w:sz w:val="24"/>
    </w:rPr>
  </w:style>
  <w:style w:type="paragraph" w:customStyle="1" w:styleId="131">
    <w:name w:val="ke-icon-tablecellsplit"/>
    <w:basedOn w:val="0"/>
    <w:pPr>
      <w:widowControl/>
      <w:spacing w:before="100" w:beforeAutospacing="1" w:after="100" w:afterAutospacing="1"/>
      <w:jc w:val="left"/>
    </w:pPr>
    <w:rPr>
      <w:rFonts w:ascii="宋体" w:cs="宋体"/>
      <w:kern w:val="0"/>
      <w:sz w:val="24"/>
    </w:rPr>
  </w:style>
  <w:style w:type="paragraph" w:customStyle="1" w:styleId="132">
    <w:name w:val="ke-icon-tablerowmerge"/>
    <w:basedOn w:val="0"/>
    <w:pPr>
      <w:widowControl/>
      <w:spacing w:before="100" w:beforeAutospacing="1" w:after="100" w:afterAutospacing="1"/>
      <w:jc w:val="left"/>
    </w:pPr>
    <w:rPr>
      <w:rFonts w:ascii="宋体" w:cs="宋体"/>
      <w:kern w:val="0"/>
      <w:sz w:val="24"/>
    </w:rPr>
  </w:style>
  <w:style w:type="paragraph" w:customStyle="1" w:styleId="133">
    <w:name w:val="ke-icon-tablerowsplit"/>
    <w:basedOn w:val="0"/>
    <w:pPr>
      <w:widowControl/>
      <w:spacing w:before="100" w:beforeAutospacing="1" w:after="100" w:afterAutospacing="1"/>
      <w:jc w:val="left"/>
    </w:pPr>
    <w:rPr>
      <w:rFonts w:ascii="宋体" w:cs="宋体"/>
      <w:kern w:val="0"/>
      <w:sz w:val="24"/>
    </w:rPr>
  </w:style>
  <w:style w:type="paragraph" w:customStyle="1" w:styleId="134">
    <w:name w:val="ke-icon-tablecolmerge"/>
    <w:basedOn w:val="0"/>
    <w:pPr>
      <w:widowControl/>
      <w:spacing w:before="100" w:beforeAutospacing="1" w:after="100" w:afterAutospacing="1"/>
      <w:jc w:val="left"/>
    </w:pPr>
    <w:rPr>
      <w:rFonts w:ascii="宋体" w:cs="宋体"/>
      <w:kern w:val="0"/>
      <w:sz w:val="24"/>
    </w:rPr>
  </w:style>
  <w:style w:type="paragraph" w:customStyle="1" w:styleId="135">
    <w:name w:val="ke-icon-tablecolsplit"/>
    <w:basedOn w:val="0"/>
    <w:pPr>
      <w:widowControl/>
      <w:spacing w:before="100" w:beforeAutospacing="1" w:after="100" w:afterAutospacing="1"/>
      <w:jc w:val="left"/>
    </w:pPr>
    <w:rPr>
      <w:rFonts w:ascii="宋体" w:cs="宋体"/>
      <w:kern w:val="0"/>
      <w:sz w:val="24"/>
    </w:rPr>
  </w:style>
  <w:style w:type="paragraph" w:customStyle="1" w:styleId="136">
    <w:name w:val="ke-icon-anchor"/>
    <w:basedOn w:val="0"/>
    <w:pPr>
      <w:widowControl/>
      <w:spacing w:before="100" w:beforeAutospacing="1" w:after="100" w:afterAutospacing="1"/>
      <w:jc w:val="left"/>
    </w:pPr>
    <w:rPr>
      <w:rFonts w:ascii="宋体" w:cs="宋体"/>
      <w:kern w:val="0"/>
      <w:sz w:val="24"/>
    </w:rPr>
  </w:style>
  <w:style w:type="paragraph" w:customStyle="1" w:styleId="137">
    <w:name w:val="ke-icon-search"/>
    <w:basedOn w:val="0"/>
    <w:pPr>
      <w:widowControl/>
      <w:spacing w:before="100" w:beforeAutospacing="1" w:after="100" w:afterAutospacing="1"/>
      <w:jc w:val="left"/>
    </w:pPr>
    <w:rPr>
      <w:rFonts w:ascii="宋体" w:cs="宋体"/>
      <w:kern w:val="0"/>
      <w:sz w:val="24"/>
    </w:rPr>
  </w:style>
  <w:style w:type="paragraph" w:customStyle="1" w:styleId="138">
    <w:name w:val="ke-icon-new"/>
    <w:basedOn w:val="0"/>
    <w:pPr>
      <w:widowControl/>
      <w:spacing w:before="100" w:beforeAutospacing="1" w:after="100" w:afterAutospacing="1"/>
      <w:jc w:val="left"/>
    </w:pPr>
    <w:rPr>
      <w:rFonts w:ascii="宋体" w:cs="宋体"/>
      <w:kern w:val="0"/>
      <w:sz w:val="24"/>
    </w:rPr>
  </w:style>
  <w:style w:type="paragraph" w:customStyle="1" w:styleId="139">
    <w:name w:val="ke-icon-specialchar"/>
    <w:basedOn w:val="0"/>
    <w:pPr>
      <w:widowControl/>
      <w:spacing w:before="100" w:beforeAutospacing="1" w:after="100" w:afterAutospacing="1"/>
      <w:jc w:val="left"/>
    </w:pPr>
    <w:rPr>
      <w:rFonts w:ascii="宋体" w:cs="宋体"/>
      <w:kern w:val="0"/>
      <w:sz w:val="24"/>
    </w:rPr>
  </w:style>
  <w:style w:type="paragraph" w:customStyle="1" w:styleId="140">
    <w:name w:val="ke-icon-multiimage"/>
    <w:basedOn w:val="0"/>
    <w:pPr>
      <w:widowControl/>
      <w:spacing w:before="100" w:beforeAutospacing="1" w:after="100" w:afterAutospacing="1"/>
      <w:jc w:val="left"/>
    </w:pPr>
    <w:rPr>
      <w:rFonts w:ascii="宋体" w:cs="宋体"/>
      <w:kern w:val="0"/>
      <w:sz w:val="24"/>
    </w:rPr>
  </w:style>
  <w:style w:type="paragraph" w:customStyle="1" w:styleId="141">
    <w:name w:val="ke-container"/>
    <w:basedOn w:val="0"/>
    <w:pPr>
      <w:widowControl/>
      <w:pBdr>
        <w:top w:val="single" w:sz="6" w:space="0" w:color="CCCCCC"/>
        <w:left w:val="single" w:sz="6" w:space="0" w:color="CCCCCC"/>
        <w:bottom w:val="single" w:sz="6" w:space="0" w:color="CCCCCC"/>
        <w:right w:val="single" w:sz="6" w:space="0" w:color="CCCCCC"/>
      </w:pBdr>
      <w:shd w:val="clear" w:color="auto" w:fill="FFFFFF"/>
      <w:jc w:val="left"/>
    </w:pPr>
    <w:rPr>
      <w:rFonts w:ascii="宋体" w:cs="宋体"/>
      <w:kern w:val="0"/>
      <w:sz w:val="24"/>
    </w:rPr>
  </w:style>
  <w:style w:type="paragraph" w:customStyle="1" w:styleId="142">
    <w:name w:val="ke-toolbar"/>
    <w:basedOn w:val="0"/>
    <w:pPr>
      <w:widowControl/>
      <w:pBdr>
        <w:bottom w:val="single" w:sz="6" w:space="2" w:color="CCCCCC"/>
      </w:pBdr>
      <w:shd w:val="clear" w:color="auto" w:fill="F0F0EE"/>
      <w:spacing w:before="100" w:beforeAutospacing="1" w:after="100" w:afterAutospacing="1"/>
      <w:jc w:val="left"/>
    </w:pPr>
    <w:rPr>
      <w:rFonts w:ascii="宋体" w:cs="宋体"/>
      <w:kern w:val="0"/>
      <w:sz w:val="24"/>
    </w:rPr>
  </w:style>
  <w:style w:type="paragraph" w:customStyle="1" w:styleId="143">
    <w:name w:val="ke-toolbar-icon"/>
    <w:basedOn w:val="0"/>
    <w:pPr>
      <w:widowControl/>
      <w:spacing w:before="100" w:beforeAutospacing="1" w:after="100" w:afterAutospacing="1" w:line="0" w:lineRule="auto"/>
      <w:jc w:val="left"/>
    </w:pPr>
    <w:rPr>
      <w:rFonts w:ascii="宋体" w:cs="宋体"/>
      <w:kern w:val="0"/>
      <w:sz w:val="2"/>
      <w:szCs w:val="2"/>
    </w:rPr>
  </w:style>
  <w:style w:type="paragraph" w:customStyle="1" w:styleId="144">
    <w:name w:val="ke-toolbar-icon-url"/>
    <w:basedOn w:val="0"/>
    <w:pPr>
      <w:widowControl/>
      <w:spacing w:before="100" w:beforeAutospacing="1" w:after="100" w:afterAutospacing="1"/>
      <w:jc w:val="left"/>
    </w:pPr>
    <w:rPr>
      <w:rFonts w:ascii="宋体" w:cs="宋体"/>
      <w:kern w:val="0"/>
      <w:sz w:val="24"/>
    </w:rPr>
  </w:style>
  <w:style w:type="paragraph" w:customStyle="1" w:styleId="145">
    <w:name w:val="ke-edit"/>
    <w:basedOn w:val="0"/>
    <w:pPr>
      <w:widowControl/>
      <w:spacing w:before="100" w:beforeAutospacing="1" w:after="100" w:afterAutospacing="1"/>
      <w:jc w:val="left"/>
    </w:pPr>
    <w:rPr>
      <w:rFonts w:ascii="宋体" w:cs="宋体"/>
      <w:kern w:val="0"/>
      <w:sz w:val="24"/>
    </w:rPr>
  </w:style>
  <w:style w:type="paragraph" w:customStyle="1" w:styleId="146">
    <w:name w:val="ke-edit-iframe"/>
    <w:basedOn w:val="0"/>
    <w:pPr>
      <w:widowControl/>
      <w:jc w:val="left"/>
    </w:pPr>
    <w:rPr>
      <w:rFonts w:ascii="宋体" w:cs="宋体"/>
      <w:kern w:val="0"/>
      <w:sz w:val="24"/>
    </w:rPr>
  </w:style>
  <w:style w:type="paragraph" w:customStyle="1" w:styleId="147">
    <w:name w:val="ke-edit-textarea"/>
    <w:basedOn w:val="0"/>
    <w:pPr>
      <w:widowControl/>
      <w:jc w:val="left"/>
    </w:pPr>
    <w:rPr>
      <w:rFonts w:ascii="Consolas" w:cs="宋体" w:hAnsi="Consolas"/>
      <w:color w:val="000000"/>
      <w:kern w:val="0"/>
      <w:sz w:val="18"/>
      <w:szCs w:val="18"/>
    </w:rPr>
  </w:style>
  <w:style w:type="paragraph" w:customStyle="1" w:styleId="148">
    <w:name w:val="ke-statusbar"/>
    <w:basedOn w:val="0"/>
    <w:pPr>
      <w:widowControl/>
      <w:pBdr>
        <w:top w:val="single" w:sz="6" w:space="0" w:color="CCCCCC"/>
      </w:pBdr>
      <w:shd w:val="clear" w:color="auto" w:fill="F0F0EE"/>
      <w:spacing w:before="100" w:beforeAutospacing="1" w:after="100" w:afterAutospacing="1" w:line="0" w:lineRule="auto"/>
      <w:jc w:val="center"/>
    </w:pPr>
    <w:rPr>
      <w:rFonts w:ascii="宋体" w:cs="宋体"/>
      <w:kern w:val="0"/>
      <w:sz w:val="2"/>
      <w:szCs w:val="2"/>
    </w:rPr>
  </w:style>
  <w:style w:type="paragraph" w:customStyle="1" w:styleId="149">
    <w:name w:val="ke-statusbar-center-icon"/>
    <w:basedOn w:val="0"/>
    <w:pPr>
      <w:widowControl/>
      <w:spacing w:before="100" w:beforeAutospacing="1" w:after="100" w:afterAutospacing="1"/>
      <w:jc w:val="left"/>
    </w:pPr>
    <w:rPr>
      <w:rFonts w:ascii="宋体" w:cs="宋体"/>
      <w:kern w:val="0"/>
      <w:sz w:val="24"/>
    </w:rPr>
  </w:style>
  <w:style w:type="paragraph" w:customStyle="1" w:styleId="150">
    <w:name w:val="ke-statusbar-right-icon"/>
    <w:basedOn w:val="0"/>
    <w:pPr>
      <w:widowControl/>
      <w:spacing w:before="100" w:beforeAutospacing="1" w:after="100" w:afterAutospacing="1"/>
      <w:jc w:val="left"/>
    </w:pPr>
    <w:rPr>
      <w:rFonts w:ascii="宋体" w:cs="宋体"/>
      <w:kern w:val="0"/>
      <w:sz w:val="24"/>
    </w:rPr>
  </w:style>
  <w:style w:type="paragraph" w:customStyle="1" w:styleId="151">
    <w:name w:val="ke-menu"/>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Tahoma" w:cs="Tahoma" w:hAnsi="Tahoma"/>
      <w:color w:val="222222"/>
      <w:kern w:val="0"/>
      <w:sz w:val="18"/>
      <w:szCs w:val="18"/>
    </w:rPr>
  </w:style>
  <w:style w:type="paragraph" w:customStyle="1" w:styleId="152">
    <w:name w:val="ke-menu-item"/>
    <w:basedOn w:val="0"/>
    <w:pPr>
      <w:widowControl/>
      <w:pBdr>
        <w:top w:val="single" w:sz="6" w:space="0" w:color="F1F1F1"/>
        <w:left w:val="single" w:sz="6" w:space="0" w:color="F1F1F1"/>
        <w:bottom w:val="single" w:sz="6" w:space="0" w:color="F1F1F1"/>
        <w:right w:val="single" w:sz="6" w:space="0" w:color="F1F1F1"/>
      </w:pBdr>
      <w:shd w:val="clear" w:color="auto" w:fill="F1F1F1"/>
      <w:spacing w:before="100" w:beforeAutospacing="1" w:after="100" w:afterAutospacing="1"/>
      <w:jc w:val="left"/>
    </w:pPr>
    <w:rPr>
      <w:rFonts w:ascii="宋体" w:cs="宋体"/>
      <w:color w:val="222222"/>
      <w:kern w:val="0"/>
      <w:sz w:val="24"/>
    </w:rPr>
  </w:style>
  <w:style w:type="paragraph" w:customStyle="1" w:styleId="153">
    <w:name w:val="ke-menu-item-on"/>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154">
    <w:name w:val="ke-menu-item-left"/>
    <w:basedOn w:val="0"/>
    <w:pPr>
      <w:widowControl/>
      <w:spacing w:before="100" w:beforeAutospacing="1" w:after="100" w:afterAutospacing="1"/>
      <w:jc w:val="center"/>
    </w:pPr>
    <w:rPr>
      <w:rFonts w:ascii="宋体" w:cs="宋体"/>
      <w:kern w:val="0"/>
      <w:sz w:val="24"/>
    </w:rPr>
  </w:style>
  <w:style w:type="paragraph" w:customStyle="1" w:styleId="155">
    <w:name w:val="ke-menu-item-center"/>
    <w:basedOn w:val="0"/>
    <w:pPr>
      <w:widowControl/>
      <w:pBdr>
        <w:left w:val="single" w:sz="6" w:space="0" w:color="E3E3E3"/>
        <w:right w:val="single" w:sz="6" w:space="0" w:color="FFFFFF"/>
      </w:pBdr>
      <w:spacing w:before="100" w:beforeAutospacing="1" w:after="100" w:afterAutospacing="1"/>
      <w:jc w:val="left"/>
    </w:pPr>
    <w:rPr>
      <w:rFonts w:ascii="宋体" w:cs="宋体"/>
      <w:kern w:val="0"/>
      <w:sz w:val="24"/>
    </w:rPr>
  </w:style>
  <w:style w:type="paragraph" w:customStyle="1" w:styleId="156">
    <w:name w:val="ke-menu-item-center-on"/>
    <w:basedOn w:val="0"/>
    <w:pPr>
      <w:widowControl/>
      <w:pBdr>
        <w:left w:val="single" w:sz="6" w:space="0" w:color="E9EFF6"/>
        <w:right w:val="single" w:sz="6" w:space="0" w:color="E9EFF6"/>
      </w:pBdr>
      <w:spacing w:before="100" w:beforeAutospacing="1" w:after="100" w:afterAutospacing="1"/>
      <w:jc w:val="left"/>
    </w:pPr>
    <w:rPr>
      <w:rFonts w:ascii="宋体" w:cs="宋体"/>
      <w:kern w:val="0"/>
      <w:sz w:val="24"/>
    </w:rPr>
  </w:style>
  <w:style w:type="paragraph" w:customStyle="1" w:styleId="157">
    <w:name w:val="ke-menu-item-right"/>
    <w:basedOn w:val="0"/>
    <w:pPr>
      <w:widowControl/>
      <w:spacing w:before="100" w:beforeAutospacing="1" w:after="100" w:afterAutospacing="1" w:line="360" w:lineRule="atLeast"/>
      <w:jc w:val="left"/>
    </w:pPr>
    <w:rPr>
      <w:rFonts w:ascii="宋体" w:cs="宋体"/>
      <w:kern w:val="0"/>
      <w:sz w:val="24"/>
    </w:rPr>
  </w:style>
  <w:style w:type="paragraph" w:customStyle="1" w:styleId="158">
    <w:name w:val="ke-menu-separator"/>
    <w:basedOn w:val="0"/>
    <w:pPr>
      <w:widowControl/>
      <w:pBdr>
        <w:top w:val="single" w:sz="6" w:space="0" w:color="CCCCCC"/>
        <w:bottom w:val="single" w:sz="6" w:space="0" w:color="FFFFFF"/>
      </w:pBdr>
      <w:spacing w:before="30" w:after="30"/>
      <w:jc w:val="left"/>
    </w:pPr>
    <w:rPr>
      <w:rFonts w:ascii="宋体" w:cs="宋体"/>
      <w:kern w:val="0"/>
      <w:sz w:val="24"/>
    </w:rPr>
  </w:style>
  <w:style w:type="paragraph" w:customStyle="1" w:styleId="159">
    <w:name w:val="ke-colorpicker"/>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宋体" w:cs="宋体"/>
      <w:color w:val="222222"/>
      <w:kern w:val="0"/>
      <w:sz w:val="24"/>
    </w:rPr>
  </w:style>
  <w:style w:type="paragraph" w:customStyle="1" w:styleId="160">
    <w:name w:val="ke-colorpicker-table"/>
    <w:basedOn w:val="0"/>
    <w:pPr>
      <w:widowControl/>
      <w:jc w:val="left"/>
    </w:pPr>
    <w:rPr>
      <w:rFonts w:ascii="宋体" w:cs="宋体"/>
      <w:kern w:val="0"/>
      <w:sz w:val="24"/>
    </w:rPr>
  </w:style>
  <w:style w:type="paragraph" w:customStyle="1" w:styleId="161">
    <w:name w:val="ke-colorpicker-cell"/>
    <w:basedOn w:val="0"/>
    <w:pPr>
      <w:widowControl/>
      <w:pBdr>
        <w:top w:val="single" w:sz="6" w:space="0" w:color="F0F0EE"/>
        <w:left w:val="single" w:sz="6" w:space="0" w:color="F0F0EE"/>
        <w:bottom w:val="single" w:sz="6" w:space="0" w:color="F0F0EE"/>
        <w:right w:val="single" w:sz="6" w:space="0" w:color="F0F0EE"/>
      </w:pBdr>
      <w:spacing w:before="45" w:after="45" w:line="0" w:lineRule="auto"/>
      <w:ind w:left="45" w:right="45"/>
      <w:jc w:val="left"/>
    </w:pPr>
    <w:rPr>
      <w:rFonts w:ascii="宋体" w:cs="宋体"/>
      <w:kern w:val="0"/>
      <w:sz w:val="2"/>
      <w:szCs w:val="2"/>
    </w:rPr>
  </w:style>
  <w:style w:type="paragraph" w:customStyle="1" w:styleId="162">
    <w:name w:val="ke-colorpicker-cell-top"/>
    <w:basedOn w:val="0"/>
    <w:pPr>
      <w:widowControl/>
      <w:pBdr>
        <w:top w:val="single" w:sz="6" w:space="0" w:color="F0F0EE"/>
        <w:left w:val="single" w:sz="6" w:space="0" w:color="F0F0EE"/>
        <w:bottom w:val="single" w:sz="6" w:space="0" w:color="F0F0EE"/>
        <w:right w:val="single" w:sz="6" w:space="0" w:color="F0F0EE"/>
      </w:pBdr>
      <w:spacing w:line="360" w:lineRule="atLeast"/>
      <w:jc w:val="center"/>
    </w:pPr>
    <w:rPr>
      <w:rFonts w:ascii="Tahoma" w:cs="Tahoma" w:hAnsi="Tahoma"/>
      <w:kern w:val="0"/>
      <w:sz w:val="18"/>
      <w:szCs w:val="18"/>
    </w:rPr>
  </w:style>
  <w:style w:type="paragraph" w:customStyle="1" w:styleId="163">
    <w:name w:val="ke-colorpicker-cell-on"/>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164">
    <w:name w:val="ke-colorpicker-cell-selected"/>
    <w:basedOn w:val="0"/>
    <w:pPr>
      <w:widowControl/>
      <w:pBdr>
        <w:top w:val="single" w:sz="6" w:space="0" w:color="2446AB"/>
        <w:left w:val="single" w:sz="6" w:space="0" w:color="2446AB"/>
        <w:bottom w:val="single" w:sz="6" w:space="0" w:color="2446AB"/>
        <w:right w:val="single" w:sz="6" w:space="0" w:color="2446AB"/>
      </w:pBdr>
      <w:spacing w:before="100" w:beforeAutospacing="1" w:after="100" w:afterAutospacing="1"/>
      <w:jc w:val="left"/>
    </w:pPr>
    <w:rPr>
      <w:rFonts w:ascii="宋体" w:cs="宋体"/>
      <w:kern w:val="0"/>
      <w:sz w:val="24"/>
    </w:rPr>
  </w:style>
  <w:style w:type="paragraph" w:customStyle="1" w:styleId="165">
    <w:name w:val="ke-colorpicker-cell-color"/>
    <w:basedOn w:val="0"/>
    <w:pPr>
      <w:widowControl/>
      <w:spacing w:before="45" w:after="45"/>
      <w:ind w:left="45" w:right="45"/>
      <w:jc w:val="left"/>
    </w:pPr>
    <w:rPr>
      <w:rFonts w:ascii="宋体" w:cs="宋体"/>
      <w:kern w:val="0"/>
      <w:sz w:val="24"/>
    </w:rPr>
  </w:style>
  <w:style w:type="paragraph" w:customStyle="1" w:styleId="166">
    <w:name w:val="ke-dialog"/>
    <w:basedOn w:val="0"/>
    <w:pPr>
      <w:widowControl/>
      <w:jc w:val="left"/>
    </w:pPr>
    <w:rPr>
      <w:rFonts w:ascii="宋体" w:cs="宋体"/>
      <w:kern w:val="0"/>
      <w:sz w:val="24"/>
    </w:rPr>
  </w:style>
  <w:style w:type="paragraph" w:customStyle="1" w:styleId="167">
    <w:name w:val="ke-dialog-content"/>
    <w:basedOn w:val="0"/>
    <w:pPr>
      <w:widowControl/>
      <w:pBdr>
        <w:top w:val="single" w:sz="6" w:space="0" w:color="A0A0A0"/>
        <w:left w:val="single" w:sz="6" w:space="0" w:color="A0A0A0"/>
        <w:bottom w:val="single" w:sz="6" w:space="0" w:color="A0A0A0"/>
        <w:right w:val="single" w:sz="6" w:space="0" w:color="A0A0A0"/>
      </w:pBdr>
      <w:shd w:val="clear" w:color="auto" w:fill="FFFFFF"/>
      <w:spacing w:before="100" w:beforeAutospacing="1" w:after="100" w:afterAutospacing="1"/>
      <w:jc w:val="left"/>
    </w:pPr>
    <w:rPr>
      <w:rFonts w:ascii="宋体" w:cs="宋体"/>
      <w:color w:val="333333"/>
      <w:kern w:val="0"/>
      <w:sz w:val="24"/>
    </w:rPr>
  </w:style>
  <w:style w:type="paragraph" w:customStyle="1" w:styleId="168">
    <w:name w:val="ke-dialog-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169">
    <w:name w:val="ke-dialog-header"/>
    <w:basedOn w:val="0"/>
    <w:pPr>
      <w:widowControl/>
      <w:pBdr>
        <w:bottom w:val="single" w:sz="6" w:space="0" w:color="CFCFCF"/>
      </w:pBdr>
      <w:shd w:val="clear" w:color="auto" w:fill="F0F0EE"/>
      <w:spacing w:line="360" w:lineRule="atLeast"/>
      <w:jc w:val="left"/>
    </w:pPr>
    <w:rPr>
      <w:rFonts w:ascii="Tahoma" w:cs="Tahoma" w:hAnsi="Tahoma"/>
      <w:color w:val="222222"/>
      <w:kern w:val="0"/>
      <w:sz w:val="18"/>
      <w:szCs w:val="18"/>
    </w:rPr>
  </w:style>
  <w:style w:type="paragraph" w:customStyle="1" w:styleId="170">
    <w:name w:val="ke-dialog-icon-close"/>
    <w:basedOn w:val="0"/>
    <w:pPr>
      <w:widowControl/>
      <w:spacing w:before="100" w:beforeAutospacing="1" w:after="100" w:afterAutospacing="1"/>
      <w:jc w:val="left"/>
    </w:pPr>
    <w:rPr>
      <w:rFonts w:ascii="宋体" w:cs="宋体"/>
      <w:kern w:val="0"/>
      <w:sz w:val="24"/>
    </w:rPr>
  </w:style>
  <w:style w:type="paragraph" w:customStyle="1" w:styleId="171">
    <w:name w:val="ke-dialog-body"/>
    <w:basedOn w:val="0"/>
    <w:pPr>
      <w:widowControl/>
      <w:spacing w:before="100" w:beforeAutospacing="1" w:after="100" w:afterAutospacing="1"/>
      <w:jc w:val="left"/>
    </w:pPr>
    <w:rPr>
      <w:rFonts w:ascii="Tahoma" w:cs="Tahoma" w:hAnsi="Tahoma"/>
      <w:kern w:val="0"/>
      <w:sz w:val="18"/>
      <w:szCs w:val="18"/>
    </w:rPr>
  </w:style>
  <w:style w:type="paragraph" w:customStyle="1" w:styleId="172">
    <w:name w:val="ke-dialog-loading"/>
    <w:basedOn w:val="0"/>
    <w:pPr>
      <w:widowControl/>
      <w:spacing w:before="100" w:beforeAutospacing="1" w:after="100" w:afterAutospacing="1"/>
      <w:jc w:val="center"/>
    </w:pPr>
    <w:rPr>
      <w:rFonts w:ascii="宋体" w:cs="宋体"/>
      <w:kern w:val="0"/>
      <w:sz w:val="24"/>
    </w:rPr>
  </w:style>
  <w:style w:type="paragraph" w:customStyle="1" w:styleId="173">
    <w:name w:val="ke-dialog-loading-content"/>
    <w:basedOn w:val="0"/>
    <w:pPr>
      <w:widowControl/>
      <w:spacing w:before="100" w:beforeAutospacing="1" w:after="100" w:afterAutospacing="1" w:line="465" w:lineRule="atLeast"/>
      <w:jc w:val="left"/>
    </w:pPr>
    <w:rPr>
      <w:rFonts w:ascii="宋体" w:cs="宋体"/>
      <w:b/>
      <w:bCs/>
      <w:color w:val="666666"/>
      <w:kern w:val="0"/>
      <w:szCs w:val="21"/>
    </w:rPr>
  </w:style>
  <w:style w:type="paragraph" w:customStyle="1" w:styleId="174">
    <w:name w:val="ke-dialog-row"/>
    <w:basedOn w:val="0"/>
    <w:pPr>
      <w:widowControl/>
      <w:spacing w:before="100" w:beforeAutospacing="1" w:after="150"/>
      <w:jc w:val="left"/>
    </w:pPr>
    <w:rPr>
      <w:rFonts w:ascii="宋体" w:cs="宋体"/>
      <w:kern w:val="0"/>
      <w:sz w:val="24"/>
    </w:rPr>
  </w:style>
  <w:style w:type="paragraph" w:customStyle="1" w:styleId="175">
    <w:name w:val="ke-dialog-footer"/>
    <w:basedOn w:val="0"/>
    <w:pPr>
      <w:widowControl/>
      <w:shd w:val="clear" w:color="auto" w:fill="FFFFFF"/>
      <w:spacing w:before="100" w:beforeAutospacing="1" w:after="100" w:afterAutospacing="1"/>
      <w:jc w:val="right"/>
    </w:pPr>
    <w:rPr>
      <w:rFonts w:ascii="Tahoma" w:cs="Tahoma" w:hAnsi="Tahoma"/>
      <w:kern w:val="0"/>
      <w:sz w:val="18"/>
      <w:szCs w:val="18"/>
    </w:rPr>
  </w:style>
  <w:style w:type="paragraph" w:customStyle="1" w:styleId="176">
    <w:name w:val="ke-dialog-preview"/>
    <w:basedOn w:val="0"/>
    <w:pPr>
      <w:widowControl/>
      <w:spacing w:before="75" w:after="75"/>
      <w:ind w:left="75" w:right="75"/>
      <w:jc w:val="left"/>
    </w:pPr>
    <w:rPr>
      <w:rFonts w:ascii="宋体" w:cs="宋体"/>
      <w:kern w:val="0"/>
      <w:sz w:val="24"/>
    </w:rPr>
  </w:style>
  <w:style w:type="paragraph" w:customStyle="1" w:styleId="177">
    <w:name w:val="ke-dialog-yes"/>
    <w:basedOn w:val="0"/>
    <w:pPr>
      <w:widowControl/>
      <w:spacing w:before="75" w:after="75"/>
      <w:ind w:left="75" w:right="75"/>
      <w:jc w:val="left"/>
    </w:pPr>
    <w:rPr>
      <w:rFonts w:ascii="宋体" w:cs="宋体"/>
      <w:kern w:val="0"/>
      <w:sz w:val="24"/>
    </w:rPr>
  </w:style>
  <w:style w:type="paragraph" w:customStyle="1" w:styleId="178">
    <w:name w:val="ke-dialog-no"/>
    <w:basedOn w:val="0"/>
    <w:pPr>
      <w:widowControl/>
      <w:spacing w:before="75" w:after="75"/>
      <w:ind w:left="75" w:right="150"/>
      <w:jc w:val="left"/>
    </w:pPr>
    <w:rPr>
      <w:rFonts w:ascii="宋体" w:cs="宋体"/>
      <w:kern w:val="0"/>
      <w:sz w:val="24"/>
    </w:rPr>
  </w:style>
  <w:style w:type="paragraph" w:customStyle="1" w:styleId="179">
    <w:name w:val="ke-dialog-mask"/>
    <w:basedOn w:val="0"/>
    <w:pPr>
      <w:widowControl/>
      <w:shd w:val="clear" w:color="auto" w:fill="FFFFFF"/>
      <w:spacing w:before="100" w:beforeAutospacing="1" w:after="100" w:afterAutospacing="1"/>
      <w:jc w:val="left"/>
    </w:pPr>
    <w:rPr>
      <w:rFonts w:ascii="宋体" w:cs="宋体"/>
      <w:kern w:val="0"/>
      <w:sz w:val="24"/>
    </w:rPr>
  </w:style>
  <w:style w:type="paragraph" w:customStyle="1" w:styleId="180">
    <w:name w:val="ke-button-common"/>
    <w:basedOn w:val="0"/>
    <w:pPr>
      <w:widowControl/>
      <w:spacing w:before="100" w:beforeAutospacing="1" w:after="100" w:afterAutospacing="1" w:line="345" w:lineRule="atLeast"/>
      <w:jc w:val="left"/>
      <w:textAlignment w:val="top"/>
    </w:pPr>
    <w:rPr>
      <w:rFonts w:ascii="宋体" w:cs="宋体"/>
      <w:kern w:val="0"/>
      <w:sz w:val="24"/>
    </w:rPr>
  </w:style>
  <w:style w:type="paragraph" w:customStyle="1" w:styleId="181">
    <w:name w:val="ke-button-outer"/>
    <w:basedOn w:val="0"/>
    <w:pPr>
      <w:widowControl/>
      <w:spacing w:before="100" w:beforeAutospacing="1" w:after="100" w:afterAutospacing="1"/>
      <w:jc w:val="left"/>
      <w:textAlignment w:val="center"/>
    </w:pPr>
    <w:rPr>
      <w:rFonts w:ascii="宋体" w:cs="宋体"/>
      <w:kern w:val="0"/>
      <w:sz w:val="24"/>
    </w:rPr>
  </w:style>
  <w:style w:type="paragraph" w:customStyle="1" w:styleId="182">
    <w:name w:val="ke-button"/>
    <w:basedOn w:val="0"/>
    <w:pPr>
      <w:widowControl/>
      <w:jc w:val="left"/>
    </w:pPr>
    <w:rPr>
      <w:rFonts w:ascii="Tahoma" w:cs="Tahoma" w:hAnsi="Tahoma"/>
      <w:color w:val="333333"/>
      <w:kern w:val="0"/>
      <w:sz w:val="18"/>
      <w:szCs w:val="18"/>
    </w:rPr>
  </w:style>
  <w:style w:type="paragraph" w:customStyle="1" w:styleId="183">
    <w:name w:val="ke-input-text"/>
    <w:basedOn w:val="0"/>
    <w:pPr>
      <w:widowControl/>
      <w:pBdr>
        <w:top w:val="single" w:sz="6" w:space="2" w:color="848484"/>
        <w:left w:val="single" w:sz="6" w:space="3" w:color="848484"/>
        <w:bottom w:val="single" w:sz="6" w:space="2" w:color="E0E0E0"/>
        <w:right w:val="single" w:sz="6" w:space="3" w:color="E0E0E0"/>
      </w:pBdr>
      <w:shd w:val="clear" w:color="auto" w:fill="FFFFFF"/>
      <w:spacing w:before="100" w:beforeAutospacing="1" w:after="100" w:afterAutospacing="1" w:line="255" w:lineRule="atLeast"/>
      <w:jc w:val="left"/>
      <w:textAlignment w:val="center"/>
    </w:pPr>
    <w:rPr>
      <w:rFonts w:ascii="Tahoma" w:cs="Tahoma" w:hAnsi="Tahoma"/>
      <w:kern w:val="0"/>
      <w:sz w:val="18"/>
      <w:szCs w:val="18"/>
    </w:rPr>
  </w:style>
  <w:style w:type="paragraph" w:customStyle="1" w:styleId="184">
    <w:name w:val="ke-input-number"/>
    <w:basedOn w:val="0"/>
    <w:pPr>
      <w:widowControl/>
      <w:spacing w:before="100" w:beforeAutospacing="1" w:after="100" w:afterAutospacing="1"/>
      <w:jc w:val="left"/>
    </w:pPr>
    <w:rPr>
      <w:rFonts w:ascii="宋体" w:cs="宋体"/>
      <w:kern w:val="0"/>
      <w:sz w:val="24"/>
    </w:rPr>
  </w:style>
  <w:style w:type="paragraph" w:customStyle="1" w:styleId="185">
    <w:name w:val="ke-input-color"/>
    <w:basedOn w:val="0"/>
    <w:pPr>
      <w:widowControl/>
      <w:pBdr>
        <w:top w:val="single" w:sz="6" w:space="0" w:color="A0A0A0"/>
        <w:left w:val="single" w:sz="6" w:space="4" w:color="A0A0A0"/>
        <w:bottom w:val="single" w:sz="6" w:space="0" w:color="A0A0A0"/>
        <w:right w:val="single" w:sz="6" w:space="0" w:color="A0A0A0"/>
      </w:pBdr>
      <w:shd w:val="clear" w:color="auto" w:fill="FFFFFF"/>
      <w:spacing w:before="100" w:beforeAutospacing="1" w:after="100" w:afterAutospacing="1" w:line="300" w:lineRule="atLeast"/>
      <w:jc w:val="left"/>
      <w:textAlignment w:val="center"/>
    </w:pPr>
    <w:rPr>
      <w:rFonts w:ascii="宋体" w:cs="宋体"/>
      <w:kern w:val="0"/>
      <w:sz w:val="18"/>
      <w:szCs w:val="18"/>
    </w:rPr>
  </w:style>
  <w:style w:type="paragraph" w:customStyle="1" w:styleId="186">
    <w:name w:val="ke-upload-area"/>
    <w:basedOn w:val="0"/>
    <w:pPr>
      <w:widowControl/>
      <w:jc w:val="left"/>
    </w:pPr>
    <w:rPr>
      <w:rFonts w:ascii="宋体" w:cs="宋体"/>
      <w:kern w:val="0"/>
      <w:sz w:val="24"/>
    </w:rPr>
  </w:style>
  <w:style w:type="paragraph" w:customStyle="1" w:styleId="187">
    <w:name w:val="ke-tabs"/>
    <w:basedOn w:val="0"/>
    <w:pPr>
      <w:widowControl/>
      <w:pBdr>
        <w:bottom w:val="single" w:sz="6" w:space="0" w:color="A0A0A0"/>
      </w:pBdr>
      <w:spacing w:before="100" w:beforeAutospacing="1" w:after="300"/>
      <w:jc w:val="left"/>
    </w:pPr>
    <w:rPr>
      <w:rFonts w:ascii="Tahoma" w:cs="Tahoma" w:hAnsi="Tahoma"/>
      <w:kern w:val="0"/>
      <w:sz w:val="18"/>
      <w:szCs w:val="18"/>
    </w:rPr>
  </w:style>
  <w:style w:type="paragraph" w:customStyle="1" w:styleId="188">
    <w:name w:val="ke-tabs-ul"/>
    <w:basedOn w:val="0"/>
    <w:pPr>
      <w:widowControl/>
      <w:jc w:val="left"/>
    </w:pPr>
    <w:rPr>
      <w:rFonts w:ascii="宋体" w:cs="宋体"/>
      <w:kern w:val="0"/>
      <w:sz w:val="24"/>
    </w:rPr>
  </w:style>
  <w:style w:type="paragraph" w:customStyle="1" w:styleId="189">
    <w:name w:val="ke-tabs-li"/>
    <w:basedOn w:val="0"/>
    <w:pPr>
      <w:widowControl/>
      <w:pBdr>
        <w:top w:val="single" w:sz="6" w:space="0" w:color="A0A0A0"/>
        <w:left w:val="single" w:sz="6" w:space="15" w:color="A0A0A0"/>
        <w:bottom w:val="single" w:sz="6" w:space="0" w:color="A0A0A0"/>
        <w:right w:val="single" w:sz="6" w:space="15" w:color="A0A0A0"/>
      </w:pBdr>
      <w:shd w:val="clear" w:color="auto" w:fill="F0F0EE"/>
      <w:spacing w:line="375" w:lineRule="atLeast"/>
      <w:ind w:right="30"/>
      <w:jc w:val="center"/>
    </w:pPr>
    <w:rPr>
      <w:rFonts w:ascii="宋体" w:cs="宋体"/>
      <w:color w:val="555555"/>
      <w:kern w:val="0"/>
      <w:sz w:val="24"/>
    </w:rPr>
  </w:style>
  <w:style w:type="paragraph" w:customStyle="1" w:styleId="190">
    <w:name w:val="ke-tabs-li-selected"/>
    <w:basedOn w:val="0"/>
    <w:pPr>
      <w:widowControl/>
      <w:pBdr>
        <w:bottom w:val="single" w:sz="6" w:space="0" w:color="FFFFFF"/>
      </w:pBdr>
      <w:shd w:val="clear" w:color="auto" w:fill="FFFFFF"/>
      <w:spacing w:before="100" w:beforeAutospacing="1" w:after="100" w:afterAutospacing="1"/>
      <w:jc w:val="left"/>
    </w:pPr>
    <w:rPr>
      <w:rFonts w:ascii="宋体" w:cs="宋体"/>
      <w:color w:val="000000"/>
      <w:kern w:val="0"/>
      <w:sz w:val="24"/>
    </w:rPr>
  </w:style>
  <w:style w:type="paragraph" w:customStyle="1" w:styleId="191">
    <w:name w:val="ke-tabs-li-on"/>
    <w:basedOn w:val="0"/>
    <w:pPr>
      <w:widowControl/>
      <w:shd w:val="clear" w:color="auto" w:fill="FFFFFF"/>
      <w:spacing w:before="100" w:beforeAutospacing="1" w:after="100" w:afterAutospacing="1"/>
      <w:jc w:val="left"/>
    </w:pPr>
    <w:rPr>
      <w:rFonts w:ascii="宋体" w:cs="宋体"/>
      <w:color w:val="000000"/>
      <w:kern w:val="0"/>
      <w:sz w:val="24"/>
    </w:rPr>
  </w:style>
  <w:style w:type="paragraph" w:customStyle="1" w:styleId="192">
    <w:name w:val="ke-progressbar"/>
    <w:basedOn w:val="0"/>
    <w:pPr>
      <w:widowControl/>
      <w:jc w:val="left"/>
    </w:pPr>
    <w:rPr>
      <w:rFonts w:ascii="宋体" w:cs="宋体"/>
      <w:kern w:val="0"/>
      <w:sz w:val="24"/>
    </w:rPr>
  </w:style>
  <w:style w:type="paragraph" w:customStyle="1" w:styleId="193">
    <w:name w:val="ke-progressbar-bar"/>
    <w:basedOn w:val="0"/>
    <w:pPr>
      <w:widowControl/>
      <w:pBdr>
        <w:top w:val="single" w:sz="6" w:space="0" w:color="6FA5DB"/>
        <w:left w:val="single" w:sz="6" w:space="0" w:color="6FA5DB"/>
        <w:bottom w:val="single" w:sz="6" w:space="0" w:color="6FA5DB"/>
        <w:right w:val="single" w:sz="6" w:space="0" w:color="6FA5DB"/>
      </w:pBdr>
      <w:spacing w:before="150"/>
      <w:ind w:left="150" w:right="150"/>
      <w:jc w:val="left"/>
    </w:pPr>
    <w:rPr>
      <w:rFonts w:ascii="宋体" w:cs="宋体"/>
      <w:kern w:val="0"/>
      <w:sz w:val="24"/>
    </w:rPr>
  </w:style>
  <w:style w:type="paragraph" w:customStyle="1" w:styleId="194">
    <w:name w:val="ke-progressbar-bar-inner"/>
    <w:basedOn w:val="0"/>
    <w:pPr>
      <w:widowControl/>
      <w:shd w:val="clear" w:color="auto" w:fill="6FA5DB"/>
      <w:jc w:val="left"/>
    </w:pPr>
    <w:rPr>
      <w:rFonts w:ascii="宋体" w:cs="宋体"/>
      <w:kern w:val="0"/>
      <w:sz w:val="24"/>
    </w:rPr>
  </w:style>
  <w:style w:type="paragraph" w:customStyle="1" w:styleId="195">
    <w:name w:val="ke-progressbar-percent"/>
    <w:basedOn w:val="0"/>
    <w:pPr>
      <w:widowControl/>
      <w:spacing w:before="100" w:beforeAutospacing="1" w:after="100" w:afterAutospacing="1"/>
      <w:jc w:val="left"/>
    </w:pPr>
    <w:rPr>
      <w:rFonts w:ascii="宋体" w:cs="宋体"/>
      <w:vanish/>
      <w:kern w:val="0"/>
      <w:sz w:val="24"/>
    </w:rPr>
  </w:style>
  <w:style w:type="paragraph" w:customStyle="1" w:styleId="196">
    <w:name w:val="ke-swfupload-top"/>
    <w:basedOn w:val="0"/>
    <w:pPr>
      <w:widowControl/>
      <w:spacing w:before="100" w:beforeAutospacing="1" w:after="150"/>
      <w:jc w:val="left"/>
    </w:pPr>
    <w:rPr>
      <w:rFonts w:ascii="宋体" w:cs="宋体"/>
      <w:kern w:val="0"/>
      <w:sz w:val="24"/>
    </w:rPr>
  </w:style>
  <w:style w:type="paragraph" w:customStyle="1" w:styleId="197">
    <w:name w:val="ke-swfupload-button"/>
    <w:basedOn w:val="0"/>
    <w:pPr>
      <w:widowControl/>
      <w:spacing w:before="100" w:beforeAutospacing="1" w:after="100" w:afterAutospacing="1" w:line="345" w:lineRule="atLeast"/>
      <w:jc w:val="left"/>
    </w:pPr>
    <w:rPr>
      <w:rFonts w:ascii="宋体" w:cs="宋体"/>
      <w:kern w:val="0"/>
      <w:sz w:val="24"/>
    </w:rPr>
  </w:style>
  <w:style w:type="paragraph" w:customStyle="1" w:styleId="198">
    <w:name w:val="ke-swfupload-desc"/>
    <w:basedOn w:val="0"/>
    <w:pPr>
      <w:widowControl/>
      <w:spacing w:before="100" w:beforeAutospacing="1" w:after="100" w:afterAutospacing="1" w:line="345" w:lineRule="atLeast"/>
      <w:jc w:val="left"/>
    </w:pPr>
    <w:rPr>
      <w:rFonts w:ascii="宋体" w:cs="宋体"/>
      <w:kern w:val="0"/>
      <w:sz w:val="24"/>
    </w:rPr>
  </w:style>
  <w:style w:type="paragraph" w:customStyle="1" w:styleId="199">
    <w:name w:val="ke-swfupload-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0">
    <w:name w:val="ke-plugin-plainpaste-textarea"/>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1">
    <w:name w:val="ke-plugin-wordpaste-iframe"/>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2">
    <w:name w:val="ke-plugin-filemanager-header"/>
    <w:basedOn w:val="0"/>
    <w:pPr>
      <w:widowControl/>
      <w:spacing w:before="100" w:beforeAutospacing="1" w:after="150"/>
      <w:jc w:val="left"/>
    </w:pPr>
    <w:rPr>
      <w:rFonts w:ascii="宋体" w:cs="宋体"/>
      <w:kern w:val="0"/>
      <w:sz w:val="24"/>
    </w:rPr>
  </w:style>
  <w:style w:type="paragraph" w:customStyle="1" w:styleId="203">
    <w:name w:val="ke-plugin-filemanager-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4">
    <w:name w:val="pln"/>
    <w:basedOn w:val="0"/>
    <w:pPr>
      <w:widowControl/>
      <w:spacing w:before="100" w:beforeAutospacing="1" w:after="100" w:afterAutospacing="1"/>
      <w:jc w:val="left"/>
    </w:pPr>
    <w:rPr>
      <w:rFonts w:ascii="宋体" w:cs="宋体"/>
      <w:color w:val="000000"/>
      <w:kern w:val="0"/>
      <w:sz w:val="24"/>
    </w:rPr>
  </w:style>
  <w:style w:type="paragraph" w:customStyle="1" w:styleId="205">
    <w:name w:val="layui-layer-shade"/>
    <w:basedOn w:val="0"/>
    <w:pPr>
      <w:widowControl/>
      <w:spacing w:before="100" w:beforeAutospacing="1" w:after="100" w:afterAutospacing="1"/>
      <w:jc w:val="left"/>
    </w:pPr>
    <w:rPr>
      <w:rFonts w:ascii="宋体" w:cs="宋体"/>
      <w:kern w:val="0"/>
      <w:sz w:val="24"/>
    </w:rPr>
  </w:style>
  <w:style w:type="paragraph" w:customStyle="1" w:styleId="206">
    <w:name w:val="layui-layer"/>
    <w:basedOn w:val="0"/>
    <w:pPr>
      <w:widowControl/>
      <w:shd w:val="clear" w:color="auto" w:fill="FFFFFF"/>
      <w:jc w:val="left"/>
    </w:pPr>
    <w:rPr>
      <w:rFonts w:ascii="宋体" w:cs="宋体"/>
      <w:kern w:val="0"/>
      <w:sz w:val="24"/>
    </w:rPr>
  </w:style>
  <w:style w:type="paragraph" w:customStyle="1" w:styleId="207">
    <w:name w:val="layui-layer-border"/>
    <w:basedOn w:val="0"/>
    <w:pPr>
      <w:widowControl/>
      <w:pBdr>
        <w:top w:val="single" w:sz="6" w:space="0" w:color="B2B2B2"/>
        <w:left w:val="single" w:sz="6" w:space="0" w:color="B2B2B2"/>
        <w:bottom w:val="single" w:sz="6" w:space="0" w:color="B2B2B2"/>
        <w:right w:val="single" w:sz="6" w:space="0" w:color="B2B2B2"/>
      </w:pBdr>
      <w:spacing w:before="100" w:beforeAutospacing="1" w:after="100" w:afterAutospacing="1"/>
      <w:jc w:val="left"/>
    </w:pPr>
    <w:rPr>
      <w:rFonts w:ascii="宋体" w:cs="宋体"/>
      <w:kern w:val="0"/>
      <w:sz w:val="24"/>
    </w:rPr>
  </w:style>
  <w:style w:type="paragraph" w:customStyle="1" w:styleId="208">
    <w:name w:val="layui-layer-moves"/>
    <w:basedOn w:val="0"/>
    <w:pPr>
      <w:widowControl/>
      <w:pBdr>
        <w:top w:val="single" w:sz="18" w:space="0" w:color="666666"/>
        <w:left w:val="single" w:sz="18" w:space="0" w:color="666666"/>
        <w:bottom w:val="single" w:sz="18" w:space="0" w:color="666666"/>
        <w:right w:val="single" w:sz="18" w:space="0" w:color="666666"/>
      </w:pBdr>
      <w:shd w:val="clear" w:color="auto" w:fill="FFFFFF"/>
      <w:spacing w:before="100" w:beforeAutospacing="1" w:after="100" w:afterAutospacing="1"/>
      <w:jc w:val="left"/>
    </w:pPr>
    <w:rPr>
      <w:rFonts w:ascii="宋体" w:cs="宋体"/>
      <w:kern w:val="0"/>
      <w:sz w:val="24"/>
    </w:rPr>
  </w:style>
  <w:style w:type="paragraph" w:customStyle="1" w:styleId="209">
    <w:name w:val="layui-layer-load"/>
    <w:basedOn w:val="0"/>
    <w:pPr>
      <w:widowControl/>
      <w:shd w:val="clear" w:color="auto" w:fill="FFFFFF"/>
      <w:spacing w:before="100" w:beforeAutospacing="1" w:after="100" w:afterAutospacing="1"/>
      <w:jc w:val="left"/>
    </w:pPr>
    <w:rPr>
      <w:rFonts w:ascii="宋体" w:cs="宋体"/>
      <w:kern w:val="0"/>
      <w:sz w:val="24"/>
    </w:rPr>
  </w:style>
  <w:style w:type="paragraph" w:customStyle="1" w:styleId="210">
    <w:name w:val="layui-layer-ico"/>
    <w:basedOn w:val="0"/>
    <w:pPr>
      <w:widowControl/>
      <w:spacing w:before="100" w:beforeAutospacing="1" w:after="100" w:afterAutospacing="1"/>
      <w:jc w:val="left"/>
    </w:pPr>
    <w:rPr>
      <w:rFonts w:ascii="宋体" w:cs="宋体"/>
      <w:kern w:val="0"/>
      <w:sz w:val="24"/>
    </w:rPr>
  </w:style>
  <w:style w:type="paragraph" w:customStyle="1" w:styleId="211">
    <w:name w:val="layui-layer-title"/>
    <w:basedOn w:val="0"/>
    <w:pPr>
      <w:widowControl/>
      <w:pBdr>
        <w:bottom w:val="single" w:sz="6" w:space="0" w:color="EEEEEE"/>
      </w:pBdr>
      <w:shd w:val="clear" w:color="auto" w:fill="F8F8F8"/>
      <w:spacing w:before="100" w:beforeAutospacing="1" w:after="100" w:afterAutospacing="1" w:line="630" w:lineRule="atLeast"/>
      <w:jc w:val="left"/>
    </w:pPr>
    <w:rPr>
      <w:rFonts w:ascii="宋体" w:cs="宋体"/>
      <w:color w:val="333333"/>
      <w:kern w:val="0"/>
      <w:szCs w:val="21"/>
    </w:rPr>
  </w:style>
  <w:style w:type="paragraph" w:customStyle="1" w:styleId="212">
    <w:name w:val="layui-layer-setwin"/>
    <w:basedOn w:val="0"/>
    <w:pPr>
      <w:widowControl/>
      <w:spacing w:before="100" w:beforeAutospacing="1" w:after="100" w:afterAutospacing="1"/>
      <w:jc w:val="left"/>
    </w:pPr>
    <w:rPr>
      <w:rFonts w:ascii="宋体" w:cs="宋体"/>
      <w:kern w:val="0"/>
      <w:sz w:val="2"/>
      <w:szCs w:val="2"/>
    </w:rPr>
  </w:style>
  <w:style w:type="paragraph" w:customStyle="1" w:styleId="213">
    <w:name w:val="layui-layer-btn"/>
    <w:basedOn w:val="0"/>
    <w:pPr>
      <w:widowControl/>
      <w:spacing w:before="100" w:beforeAutospacing="1" w:after="100" w:afterAutospacing="1"/>
      <w:jc w:val="right"/>
    </w:pPr>
    <w:rPr>
      <w:rFonts w:ascii="宋体" w:cs="宋体"/>
      <w:kern w:val="0"/>
      <w:sz w:val="24"/>
    </w:rPr>
  </w:style>
  <w:style w:type="paragraph" w:customStyle="1" w:styleId="214">
    <w:name w:val="layui-layer-rim"/>
    <w:basedOn w:val="0"/>
    <w:pPr>
      <w:widowControl/>
      <w:pBdr>
        <w:top w:val="single" w:sz="36" w:space="0" w:color="8D8D8D"/>
        <w:left w:val="single" w:sz="36" w:space="0" w:color="8D8D8D"/>
        <w:bottom w:val="single" w:sz="36" w:space="0" w:color="8D8D8D"/>
        <w:right w:val="single" w:sz="36" w:space="0" w:color="8D8D8D"/>
      </w:pBdr>
      <w:spacing w:before="100" w:beforeAutospacing="1" w:after="100" w:afterAutospacing="1"/>
      <w:jc w:val="left"/>
    </w:pPr>
    <w:rPr>
      <w:rFonts w:ascii="宋体" w:cs="宋体"/>
      <w:kern w:val="0"/>
      <w:sz w:val="24"/>
    </w:rPr>
  </w:style>
  <w:style w:type="paragraph" w:customStyle="1" w:styleId="215">
    <w:name w:val="layui-layer-msg"/>
    <w:basedOn w:val="0"/>
    <w:pPr>
      <w:widowControl/>
      <w:pBdr>
        <w:top w:val="single" w:sz="6" w:space="0" w:color="D3D4D3"/>
        <w:left w:val="single" w:sz="6" w:space="0" w:color="D3D4D3"/>
        <w:bottom w:val="single" w:sz="6" w:space="0" w:color="D3D4D3"/>
        <w:right w:val="single" w:sz="6" w:space="0" w:color="D3D4D3"/>
      </w:pBdr>
      <w:spacing w:before="100" w:beforeAutospacing="1" w:after="100" w:afterAutospacing="1"/>
      <w:jc w:val="left"/>
    </w:pPr>
    <w:rPr>
      <w:rFonts w:ascii="宋体" w:cs="宋体"/>
      <w:kern w:val="0"/>
      <w:sz w:val="24"/>
    </w:rPr>
  </w:style>
  <w:style w:type="paragraph" w:customStyle="1" w:styleId="216">
    <w:name w:val="layui-layer-hui"/>
    <w:basedOn w:val="0"/>
    <w:pPr>
      <w:widowControl/>
      <w:shd w:val="clear" w:color="auto" w:fill="000000"/>
      <w:spacing w:before="100" w:beforeAutospacing="1" w:after="100" w:afterAutospacing="1"/>
      <w:jc w:val="left"/>
    </w:pPr>
    <w:rPr>
      <w:rFonts w:ascii="宋体" w:cs="宋体"/>
      <w:color w:val="FFFFFF"/>
      <w:kern w:val="0"/>
      <w:sz w:val="24"/>
    </w:rPr>
  </w:style>
  <w:style w:type="paragraph" w:customStyle="1" w:styleId="217">
    <w:name w:val="layui-layer-loading"/>
    <w:basedOn w:val="0"/>
    <w:pPr>
      <w:widowControl/>
      <w:spacing w:before="100" w:beforeAutospacing="1" w:after="100" w:afterAutospacing="1"/>
      <w:jc w:val="left"/>
    </w:pPr>
    <w:rPr>
      <w:rFonts w:ascii="宋体" w:cs="宋体"/>
      <w:kern w:val="0"/>
      <w:sz w:val="24"/>
    </w:rPr>
  </w:style>
  <w:style w:type="paragraph" w:customStyle="1" w:styleId="218">
    <w:name w:val="layui-layer-ico16"/>
    <w:basedOn w:val="0"/>
    <w:pPr>
      <w:widowControl/>
      <w:spacing w:before="100" w:beforeAutospacing="1" w:after="100" w:afterAutospacing="1"/>
      <w:jc w:val="left"/>
    </w:pPr>
    <w:rPr>
      <w:rFonts w:ascii="宋体" w:cs="宋体"/>
      <w:kern w:val="0"/>
      <w:sz w:val="24"/>
    </w:rPr>
  </w:style>
  <w:style w:type="paragraph" w:customStyle="1" w:styleId="219">
    <w:name w:val="layui-layer-tips"/>
    <w:basedOn w:val="0"/>
    <w:pPr>
      <w:widowControl/>
      <w:spacing w:before="100" w:beforeAutospacing="1" w:after="100" w:afterAutospacing="1"/>
      <w:jc w:val="left"/>
    </w:pPr>
    <w:rPr>
      <w:rFonts w:ascii="宋体" w:cs="宋体"/>
      <w:kern w:val="0"/>
      <w:sz w:val="24"/>
    </w:rPr>
  </w:style>
  <w:style w:type="paragraph" w:customStyle="1" w:styleId="220">
    <w:name w:val="ke-outline"/>
    <w:basedOn w:val="0"/>
    <w:pPr>
      <w:widowControl/>
      <w:spacing w:before="100" w:beforeAutospacing="1" w:after="100" w:afterAutospacing="1"/>
      <w:jc w:val="left"/>
    </w:pPr>
    <w:rPr>
      <w:rFonts w:ascii="宋体" w:cs="宋体"/>
      <w:kern w:val="0"/>
      <w:sz w:val="24"/>
    </w:rPr>
  </w:style>
  <w:style w:type="paragraph" w:customStyle="1" w:styleId="221">
    <w:name w:val="ke-on"/>
    <w:basedOn w:val="0"/>
    <w:pPr>
      <w:widowControl/>
      <w:spacing w:before="100" w:beforeAutospacing="1" w:after="100" w:afterAutospacing="1"/>
      <w:jc w:val="left"/>
    </w:pPr>
    <w:rPr>
      <w:rFonts w:ascii="宋体" w:cs="宋体"/>
      <w:kern w:val="0"/>
      <w:sz w:val="24"/>
    </w:rPr>
  </w:style>
  <w:style w:type="paragraph" w:customStyle="1" w:styleId="222">
    <w:name w:val="ke-selected"/>
    <w:basedOn w:val="0"/>
    <w:pPr>
      <w:widowControl/>
      <w:spacing w:before="100" w:beforeAutospacing="1" w:after="100" w:afterAutospacing="1"/>
      <w:jc w:val="left"/>
    </w:pPr>
    <w:rPr>
      <w:rFonts w:ascii="宋体" w:cs="宋体"/>
      <w:kern w:val="0"/>
      <w:sz w:val="24"/>
    </w:rPr>
  </w:style>
  <w:style w:type="paragraph" w:customStyle="1" w:styleId="223">
    <w:name w:val="ke-separator"/>
    <w:basedOn w:val="0"/>
    <w:pPr>
      <w:widowControl/>
      <w:spacing w:before="100" w:beforeAutospacing="1" w:after="100" w:afterAutospacing="1"/>
      <w:jc w:val="left"/>
    </w:pPr>
    <w:rPr>
      <w:rFonts w:ascii="宋体" w:cs="宋体"/>
      <w:kern w:val="0"/>
      <w:sz w:val="24"/>
    </w:rPr>
  </w:style>
  <w:style w:type="paragraph" w:customStyle="1" w:styleId="224">
    <w:name w:val="ke-hr"/>
    <w:basedOn w:val="0"/>
    <w:pPr>
      <w:widowControl/>
      <w:spacing w:before="100" w:beforeAutospacing="1" w:after="100" w:afterAutospacing="1"/>
      <w:jc w:val="left"/>
    </w:pPr>
    <w:rPr>
      <w:rFonts w:ascii="宋体" w:cs="宋体"/>
      <w:kern w:val="0"/>
      <w:sz w:val="24"/>
    </w:rPr>
  </w:style>
  <w:style w:type="paragraph" w:customStyle="1" w:styleId="225">
    <w:name w:val="ke-header"/>
    <w:basedOn w:val="0"/>
    <w:pPr>
      <w:widowControl/>
      <w:spacing w:before="100" w:beforeAutospacing="1" w:after="100" w:afterAutospacing="1"/>
      <w:jc w:val="left"/>
    </w:pPr>
    <w:rPr>
      <w:rFonts w:ascii="宋体" w:cs="宋体"/>
      <w:kern w:val="0"/>
      <w:sz w:val="24"/>
    </w:rPr>
  </w:style>
  <w:style w:type="paragraph" w:customStyle="1" w:styleId="226">
    <w:name w:val="ke-textarea"/>
    <w:basedOn w:val="0"/>
    <w:pPr>
      <w:widowControl/>
      <w:spacing w:before="100" w:beforeAutospacing="1" w:after="100" w:afterAutospacing="1"/>
      <w:jc w:val="left"/>
    </w:pPr>
    <w:rPr>
      <w:rFonts w:ascii="宋体" w:cs="宋体"/>
      <w:kern w:val="0"/>
      <w:sz w:val="24"/>
    </w:rPr>
  </w:style>
  <w:style w:type="paragraph" w:customStyle="1" w:styleId="227">
    <w:name w:val="ke-form"/>
    <w:basedOn w:val="0"/>
    <w:pPr>
      <w:widowControl/>
      <w:spacing w:before="100" w:beforeAutospacing="1" w:after="100" w:afterAutospacing="1"/>
      <w:jc w:val="left"/>
    </w:pPr>
    <w:rPr>
      <w:rFonts w:ascii="宋体" w:cs="宋体"/>
      <w:kern w:val="0"/>
      <w:sz w:val="24"/>
    </w:rPr>
  </w:style>
  <w:style w:type="paragraph" w:customStyle="1" w:styleId="228">
    <w:name w:val="ke-upload-file"/>
    <w:basedOn w:val="0"/>
    <w:pPr>
      <w:widowControl/>
      <w:spacing w:before="100" w:beforeAutospacing="1" w:after="100" w:afterAutospacing="1"/>
      <w:jc w:val="left"/>
    </w:pPr>
    <w:rPr>
      <w:rFonts w:ascii="宋体" w:cs="宋体"/>
      <w:kern w:val="0"/>
      <w:sz w:val="24"/>
    </w:rPr>
  </w:style>
  <w:style w:type="paragraph" w:customStyle="1" w:styleId="229">
    <w:name w:val="ke-item"/>
    <w:basedOn w:val="0"/>
    <w:pPr>
      <w:widowControl/>
      <w:spacing w:before="100" w:beforeAutospacing="1" w:after="100" w:afterAutospacing="1"/>
      <w:jc w:val="left"/>
    </w:pPr>
    <w:rPr>
      <w:rFonts w:ascii="宋体" w:cs="宋体"/>
      <w:kern w:val="0"/>
      <w:sz w:val="24"/>
    </w:rPr>
  </w:style>
  <w:style w:type="paragraph" w:customStyle="1" w:styleId="230">
    <w:name w:val="ke-photo"/>
    <w:basedOn w:val="0"/>
    <w:pPr>
      <w:widowControl/>
      <w:spacing w:before="100" w:beforeAutospacing="1" w:after="100" w:afterAutospacing="1"/>
      <w:jc w:val="left"/>
    </w:pPr>
    <w:rPr>
      <w:rFonts w:ascii="宋体" w:cs="宋体"/>
      <w:kern w:val="0"/>
      <w:sz w:val="24"/>
    </w:rPr>
  </w:style>
  <w:style w:type="paragraph" w:customStyle="1" w:styleId="231">
    <w:name w:val="ke-delete"/>
    <w:basedOn w:val="0"/>
    <w:pPr>
      <w:widowControl/>
      <w:spacing w:before="100" w:beforeAutospacing="1" w:after="100" w:afterAutospacing="1"/>
      <w:jc w:val="left"/>
    </w:pPr>
    <w:rPr>
      <w:rFonts w:ascii="宋体" w:cs="宋体"/>
      <w:kern w:val="0"/>
      <w:sz w:val="24"/>
    </w:rPr>
  </w:style>
  <w:style w:type="paragraph" w:customStyle="1" w:styleId="232">
    <w:name w:val="ke-status"/>
    <w:basedOn w:val="0"/>
    <w:pPr>
      <w:widowControl/>
      <w:spacing w:before="100" w:beforeAutospacing="1" w:after="100" w:afterAutospacing="1"/>
      <w:jc w:val="left"/>
    </w:pPr>
    <w:rPr>
      <w:rFonts w:ascii="宋体" w:cs="宋体"/>
      <w:kern w:val="0"/>
      <w:sz w:val="24"/>
    </w:rPr>
  </w:style>
  <w:style w:type="paragraph" w:customStyle="1" w:styleId="233">
    <w:name w:val="ke-message"/>
    <w:basedOn w:val="0"/>
    <w:pPr>
      <w:widowControl/>
      <w:spacing w:before="100" w:beforeAutospacing="1" w:after="100" w:afterAutospacing="1"/>
      <w:jc w:val="left"/>
    </w:pPr>
    <w:rPr>
      <w:rFonts w:ascii="宋体" w:cs="宋体"/>
      <w:kern w:val="0"/>
      <w:sz w:val="24"/>
    </w:rPr>
  </w:style>
  <w:style w:type="paragraph" w:customStyle="1" w:styleId="234">
    <w:name w:val="ke-error"/>
    <w:basedOn w:val="0"/>
    <w:pPr>
      <w:widowControl/>
      <w:spacing w:before="100" w:beforeAutospacing="1" w:after="100" w:afterAutospacing="1"/>
      <w:jc w:val="left"/>
    </w:pPr>
    <w:rPr>
      <w:rFonts w:ascii="宋体" w:cs="宋体"/>
      <w:kern w:val="0"/>
      <w:sz w:val="24"/>
    </w:rPr>
  </w:style>
  <w:style w:type="paragraph" w:customStyle="1" w:styleId="235">
    <w:name w:val="ke-name"/>
    <w:basedOn w:val="0"/>
    <w:pPr>
      <w:widowControl/>
      <w:spacing w:before="100" w:beforeAutospacing="1" w:after="100" w:afterAutospacing="1"/>
      <w:jc w:val="left"/>
    </w:pPr>
    <w:rPr>
      <w:rFonts w:ascii="宋体" w:cs="宋体"/>
      <w:kern w:val="0"/>
      <w:sz w:val="24"/>
    </w:rPr>
  </w:style>
  <w:style w:type="paragraph" w:customStyle="1" w:styleId="236">
    <w:name w:val="ke-preview"/>
    <w:basedOn w:val="0"/>
    <w:pPr>
      <w:widowControl/>
      <w:spacing w:before="100" w:beforeAutospacing="1" w:after="100" w:afterAutospacing="1"/>
      <w:jc w:val="left"/>
    </w:pPr>
    <w:rPr>
      <w:rFonts w:ascii="宋体" w:cs="宋体"/>
      <w:kern w:val="0"/>
      <w:sz w:val="24"/>
    </w:rPr>
  </w:style>
  <w:style w:type="paragraph" w:customStyle="1" w:styleId="237">
    <w:name w:val="ke-preview-img"/>
    <w:basedOn w:val="0"/>
    <w:pPr>
      <w:widowControl/>
      <w:spacing w:before="100" w:beforeAutospacing="1" w:after="100" w:afterAutospacing="1"/>
      <w:jc w:val="left"/>
    </w:pPr>
    <w:rPr>
      <w:rFonts w:ascii="宋体" w:cs="宋体"/>
      <w:kern w:val="0"/>
      <w:sz w:val="24"/>
    </w:rPr>
  </w:style>
  <w:style w:type="paragraph" w:customStyle="1" w:styleId="238">
    <w:name w:val="ke-table"/>
    <w:basedOn w:val="0"/>
    <w:pPr>
      <w:widowControl/>
      <w:spacing w:before="100" w:beforeAutospacing="1" w:after="100" w:afterAutospacing="1"/>
      <w:jc w:val="left"/>
    </w:pPr>
    <w:rPr>
      <w:rFonts w:ascii="宋体" w:cs="宋体"/>
      <w:kern w:val="0"/>
      <w:sz w:val="24"/>
    </w:rPr>
  </w:style>
  <w:style w:type="paragraph" w:customStyle="1" w:styleId="239">
    <w:name w:val="ke-cell"/>
    <w:basedOn w:val="0"/>
    <w:pPr>
      <w:widowControl/>
      <w:spacing w:before="100" w:beforeAutospacing="1" w:after="100" w:afterAutospacing="1"/>
      <w:jc w:val="left"/>
    </w:pPr>
    <w:rPr>
      <w:rFonts w:ascii="宋体" w:cs="宋体"/>
      <w:kern w:val="0"/>
      <w:sz w:val="24"/>
    </w:rPr>
  </w:style>
  <w:style w:type="paragraph" w:customStyle="1" w:styleId="240">
    <w:name w:val="ke-img"/>
    <w:basedOn w:val="0"/>
    <w:pPr>
      <w:widowControl/>
      <w:spacing w:before="100" w:beforeAutospacing="1" w:after="100" w:afterAutospacing="1"/>
      <w:jc w:val="left"/>
    </w:pPr>
    <w:rPr>
      <w:rFonts w:ascii="宋体" w:cs="宋体"/>
      <w:kern w:val="0"/>
      <w:sz w:val="24"/>
    </w:rPr>
  </w:style>
  <w:style w:type="paragraph" w:customStyle="1" w:styleId="241">
    <w:name w:val="ke-page"/>
    <w:basedOn w:val="0"/>
    <w:pPr>
      <w:widowControl/>
      <w:spacing w:before="100" w:beforeAutospacing="1" w:after="100" w:afterAutospacing="1"/>
      <w:jc w:val="left"/>
    </w:pPr>
    <w:rPr>
      <w:rFonts w:ascii="宋体" w:cs="宋体"/>
      <w:kern w:val="0"/>
      <w:sz w:val="24"/>
    </w:rPr>
  </w:style>
  <w:style w:type="paragraph" w:customStyle="1" w:styleId="242">
    <w:name w:val="layui-layer-close2"/>
    <w:basedOn w:val="0"/>
    <w:pPr>
      <w:widowControl/>
      <w:spacing w:before="100" w:beforeAutospacing="1" w:after="100" w:afterAutospacing="1"/>
      <w:jc w:val="left"/>
    </w:pPr>
    <w:rPr>
      <w:rFonts w:ascii="宋体" w:cs="宋体"/>
      <w:kern w:val="0"/>
      <w:sz w:val="24"/>
    </w:rPr>
  </w:style>
  <w:style w:type="paragraph" w:customStyle="1" w:styleId="243">
    <w:name w:val="layui-layer-btn0"/>
    <w:basedOn w:val="0"/>
    <w:pPr>
      <w:widowControl/>
      <w:spacing w:before="100" w:beforeAutospacing="1" w:after="100" w:afterAutospacing="1"/>
      <w:jc w:val="left"/>
    </w:pPr>
    <w:rPr>
      <w:rFonts w:ascii="宋体" w:cs="宋体"/>
      <w:kern w:val="0"/>
      <w:sz w:val="24"/>
    </w:rPr>
  </w:style>
  <w:style w:type="paragraph" w:customStyle="1" w:styleId="244">
    <w:name w:val="layui-layer-content"/>
    <w:basedOn w:val="0"/>
    <w:pPr>
      <w:widowControl/>
      <w:spacing w:before="100" w:beforeAutospacing="1" w:after="100" w:afterAutospacing="1"/>
      <w:jc w:val="left"/>
    </w:pPr>
    <w:rPr>
      <w:rFonts w:ascii="宋体" w:cs="宋体"/>
      <w:kern w:val="0"/>
      <w:sz w:val="24"/>
    </w:rPr>
  </w:style>
  <w:style w:type="paragraph" w:customStyle="1" w:styleId="245">
    <w:name w:val="layui-layer-padding"/>
    <w:basedOn w:val="0"/>
    <w:pPr>
      <w:widowControl/>
      <w:spacing w:before="100" w:beforeAutospacing="1" w:after="100" w:afterAutospacing="1"/>
      <w:jc w:val="left"/>
    </w:pPr>
    <w:rPr>
      <w:rFonts w:ascii="宋体" w:cs="宋体"/>
      <w:kern w:val="0"/>
      <w:sz w:val="24"/>
    </w:rPr>
  </w:style>
  <w:style w:type="paragraph" w:customStyle="1" w:styleId="246">
    <w:name w:val="layui-layer-loading1"/>
    <w:basedOn w:val="0"/>
    <w:pPr>
      <w:widowControl/>
      <w:spacing w:before="100" w:beforeAutospacing="1" w:after="100" w:afterAutospacing="1"/>
      <w:jc w:val="left"/>
    </w:pPr>
    <w:rPr>
      <w:rFonts w:ascii="宋体" w:cs="宋体"/>
      <w:kern w:val="0"/>
      <w:sz w:val="24"/>
    </w:rPr>
  </w:style>
  <w:style w:type="paragraph" w:customStyle="1" w:styleId="247">
    <w:name w:val="layui-layer-loading2"/>
    <w:basedOn w:val="0"/>
    <w:pPr>
      <w:widowControl/>
      <w:spacing w:before="100" w:beforeAutospacing="1" w:after="100" w:afterAutospacing="1"/>
      <w:jc w:val="left"/>
    </w:pPr>
    <w:rPr>
      <w:rFonts w:ascii="宋体" w:cs="宋体"/>
      <w:kern w:val="0"/>
      <w:sz w:val="24"/>
    </w:rPr>
  </w:style>
  <w:style w:type="paragraph" w:customStyle="1" w:styleId="248">
    <w:name w:val="button"/>
    <w:basedOn w:val="0"/>
    <w:pPr>
      <w:widowControl/>
      <w:spacing w:before="100" w:beforeAutospacing="1" w:after="100" w:afterAutospacing="1"/>
      <w:jc w:val="left"/>
    </w:pPr>
    <w:rPr>
      <w:rFonts w:ascii="宋体" w:cs="宋体"/>
      <w:kern w:val="0"/>
      <w:sz w:val="24"/>
    </w:rPr>
  </w:style>
  <w:style w:type="paragraph" w:customStyle="1" w:styleId="249">
    <w:name w:val="ke-size"/>
    <w:basedOn w:val="0"/>
    <w:pPr>
      <w:widowControl/>
      <w:spacing w:before="100" w:beforeAutospacing="1" w:after="100" w:afterAutospacing="1"/>
      <w:jc w:val="left"/>
    </w:pPr>
    <w:rPr>
      <w:rFonts w:ascii="宋体" w:cs="宋体"/>
      <w:kern w:val="0"/>
      <w:sz w:val="24"/>
    </w:rPr>
  </w:style>
  <w:style w:type="paragraph" w:customStyle="1" w:styleId="250">
    <w:name w:val="ke-datetime"/>
    <w:basedOn w:val="0"/>
    <w:pPr>
      <w:widowControl/>
      <w:spacing w:before="100" w:beforeAutospacing="1" w:after="100" w:afterAutospacing="1"/>
      <w:jc w:val="left"/>
    </w:pPr>
    <w:rPr>
      <w:rFonts w:ascii="宋体" w:cs="宋体"/>
      <w:kern w:val="0"/>
      <w:sz w:val="24"/>
    </w:rPr>
  </w:style>
  <w:style w:type="paragraph" w:customStyle="1" w:styleId="251">
    <w:name w:val="layui-layer-btn1"/>
    <w:basedOn w:val="0"/>
    <w:pPr>
      <w:widowControl/>
      <w:spacing w:before="100" w:beforeAutospacing="1" w:after="100" w:afterAutospacing="1"/>
      <w:jc w:val="left"/>
    </w:pPr>
    <w:rPr>
      <w:rFonts w:ascii="宋体" w:cs="宋体"/>
      <w:kern w:val="0"/>
      <w:sz w:val="24"/>
    </w:rPr>
  </w:style>
  <w:style w:type="paragraph" w:customStyle="1" w:styleId="252">
    <w:name w:val="l1"/>
    <w:basedOn w:val="0"/>
    <w:pPr>
      <w:widowControl/>
      <w:shd w:val="clear" w:color="auto" w:fill="EEEEEE"/>
      <w:spacing w:before="100" w:beforeAutospacing="1" w:after="100" w:afterAutospacing="1"/>
      <w:jc w:val="left"/>
    </w:pPr>
    <w:rPr>
      <w:rFonts w:ascii="宋体" w:cs="宋体"/>
      <w:kern w:val="0"/>
      <w:sz w:val="24"/>
    </w:rPr>
  </w:style>
  <w:style w:type="paragraph" w:customStyle="1" w:styleId="253">
    <w:name w:val="l3"/>
    <w:basedOn w:val="0"/>
    <w:pPr>
      <w:widowControl/>
      <w:shd w:val="clear" w:color="auto" w:fill="EEEEEE"/>
      <w:spacing w:before="100" w:beforeAutospacing="1" w:after="100" w:afterAutospacing="1"/>
      <w:jc w:val="left"/>
    </w:pPr>
    <w:rPr>
      <w:rFonts w:ascii="宋体" w:cs="宋体"/>
      <w:kern w:val="0"/>
      <w:sz w:val="24"/>
    </w:rPr>
  </w:style>
  <w:style w:type="paragraph" w:customStyle="1" w:styleId="254">
    <w:name w:val="l5"/>
    <w:basedOn w:val="0"/>
    <w:pPr>
      <w:widowControl/>
      <w:shd w:val="clear" w:color="auto" w:fill="EEEEEE"/>
      <w:spacing w:before="100" w:beforeAutospacing="1" w:after="100" w:afterAutospacing="1"/>
      <w:jc w:val="left"/>
    </w:pPr>
    <w:rPr>
      <w:rFonts w:ascii="宋体" w:cs="宋体"/>
      <w:kern w:val="0"/>
      <w:sz w:val="24"/>
    </w:rPr>
  </w:style>
  <w:style w:type="paragraph" w:customStyle="1" w:styleId="255">
    <w:name w:val="l7"/>
    <w:basedOn w:val="0"/>
    <w:pPr>
      <w:widowControl/>
      <w:shd w:val="clear" w:color="auto" w:fill="EEEEEE"/>
      <w:spacing w:before="100" w:beforeAutospacing="1" w:after="100" w:afterAutospacing="1"/>
      <w:jc w:val="left"/>
    </w:pPr>
    <w:rPr>
      <w:rFonts w:ascii="宋体" w:cs="宋体"/>
      <w:kern w:val="0"/>
      <w:sz w:val="24"/>
    </w:rPr>
  </w:style>
  <w:style w:type="paragraph" w:customStyle="1" w:styleId="256">
    <w:name w:val="l9"/>
    <w:basedOn w:val="0"/>
    <w:pPr>
      <w:widowControl/>
      <w:shd w:val="clear" w:color="auto" w:fill="EEEEEE"/>
      <w:spacing w:before="100" w:beforeAutospacing="1" w:after="100" w:afterAutospacing="1"/>
      <w:jc w:val="left"/>
    </w:pPr>
    <w:rPr>
      <w:rFonts w:ascii="宋体" w:cs="宋体"/>
      <w:kern w:val="0"/>
      <w:sz w:val="24"/>
    </w:rPr>
  </w:style>
  <w:style w:type="paragraph" w:customStyle="1" w:styleId="257">
    <w:name w:val="ke-outline1"/>
    <w:basedOn w:val="0"/>
    <w:pPr>
      <w:widowControl/>
      <w:pBdr>
        <w:top w:val="single" w:sz="6" w:space="1" w:color="F0F0EE"/>
        <w:left w:val="single" w:sz="6" w:space="2" w:color="F0F0EE"/>
        <w:bottom w:val="single" w:sz="6" w:space="1" w:color="F0F0EE"/>
        <w:right w:val="single" w:sz="6" w:space="2" w:color="F0F0EE"/>
      </w:pBdr>
      <w:spacing w:before="15" w:after="15" w:line="0" w:lineRule="auto"/>
      <w:ind w:left="15" w:right="15"/>
      <w:jc w:val="left"/>
    </w:pPr>
    <w:rPr>
      <w:rFonts w:ascii="宋体" w:cs="宋体"/>
      <w:kern w:val="0"/>
      <w:sz w:val="2"/>
      <w:szCs w:val="2"/>
    </w:rPr>
  </w:style>
  <w:style w:type="paragraph" w:customStyle="1" w:styleId="258">
    <w:name w:val="ke-on1"/>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259">
    <w:name w:val="ke-selected1"/>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60">
    <w:name w:val="ke-separator1"/>
    <w:basedOn w:val="0"/>
    <w:pPr>
      <w:widowControl/>
      <w:pBdr>
        <w:left w:val="single" w:sz="6" w:space="0" w:color="A0A0A0"/>
        <w:right w:val="single" w:sz="6" w:space="0" w:color="FFFFFF"/>
      </w:pBdr>
      <w:spacing w:before="30" w:after="30" w:line="0" w:lineRule="auto"/>
      <w:ind w:left="45" w:right="45"/>
      <w:jc w:val="left"/>
    </w:pPr>
    <w:rPr>
      <w:rFonts w:ascii="宋体" w:cs="宋体"/>
      <w:kern w:val="0"/>
      <w:sz w:val="2"/>
      <w:szCs w:val="2"/>
    </w:rPr>
  </w:style>
  <w:style w:type="paragraph" w:customStyle="1" w:styleId="261">
    <w:name w:val="ke-hr1"/>
    <w:basedOn w:val="0"/>
    <w:pPr>
      <w:widowControl/>
      <w:spacing w:before="100" w:beforeAutospacing="1" w:after="100" w:afterAutospacing="1"/>
      <w:jc w:val="left"/>
    </w:pPr>
    <w:rPr>
      <w:rFonts w:ascii="宋体" w:cs="宋体"/>
      <w:kern w:val="0"/>
      <w:sz w:val="24"/>
    </w:rPr>
  </w:style>
  <w:style w:type="paragraph" w:customStyle="1" w:styleId="262">
    <w:name w:val="ke-header1"/>
    <w:basedOn w:val="0"/>
    <w:pPr>
      <w:widowControl/>
      <w:spacing w:before="100" w:beforeAutospacing="1" w:after="150"/>
      <w:jc w:val="left"/>
    </w:pPr>
    <w:rPr>
      <w:rFonts w:ascii="宋体" w:cs="宋体"/>
      <w:kern w:val="0"/>
      <w:sz w:val="24"/>
    </w:rPr>
  </w:style>
  <w:style w:type="paragraph" w:customStyle="1" w:styleId="263">
    <w:name w:val="ke-textarea1"/>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64">
    <w:name w:val="ke-form1"/>
    <w:basedOn w:val="0"/>
    <w:pPr>
      <w:widowControl/>
      <w:jc w:val="left"/>
    </w:pPr>
    <w:rPr>
      <w:rFonts w:ascii="宋体" w:cs="宋体"/>
      <w:kern w:val="0"/>
      <w:sz w:val="24"/>
    </w:rPr>
  </w:style>
  <w:style w:type="paragraph" w:customStyle="1" w:styleId="265">
    <w:name w:val="ke-upload-file1"/>
    <w:basedOn w:val="0"/>
    <w:pPr>
      <w:widowControl/>
      <w:jc w:val="left"/>
    </w:pPr>
    <w:rPr>
      <w:rFonts w:ascii="宋体" w:cs="宋体"/>
      <w:kern w:val="0"/>
      <w:sz w:val="90"/>
      <w:szCs w:val="90"/>
    </w:rPr>
  </w:style>
  <w:style w:type="paragraph" w:customStyle="1" w:styleId="266">
    <w:name w:val="ke-item1"/>
    <w:basedOn w:val="0"/>
    <w:pPr>
      <w:widowControl/>
      <w:spacing w:before="75" w:after="75"/>
      <w:ind w:left="75" w:right="75"/>
      <w:jc w:val="left"/>
    </w:pPr>
    <w:rPr>
      <w:rFonts w:ascii="宋体" w:cs="宋体"/>
      <w:kern w:val="0"/>
      <w:sz w:val="24"/>
    </w:rPr>
  </w:style>
  <w:style w:type="paragraph" w:customStyle="1" w:styleId="267">
    <w:name w:val="ke-photo1"/>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68">
    <w:name w:val="ke-delete1"/>
    <w:basedOn w:val="0"/>
    <w:pPr>
      <w:widowControl/>
      <w:spacing w:before="100" w:beforeAutospacing="1" w:after="100" w:afterAutospacing="1"/>
      <w:jc w:val="left"/>
    </w:pPr>
    <w:rPr>
      <w:rFonts w:ascii="宋体" w:cs="宋体"/>
      <w:kern w:val="0"/>
      <w:sz w:val="24"/>
    </w:rPr>
  </w:style>
  <w:style w:type="paragraph" w:customStyle="1" w:styleId="269">
    <w:name w:val="ke-status1"/>
    <w:basedOn w:val="0"/>
    <w:pPr>
      <w:widowControl/>
      <w:spacing w:before="100" w:beforeAutospacing="1" w:after="100" w:afterAutospacing="1"/>
      <w:jc w:val="left"/>
    </w:pPr>
    <w:rPr>
      <w:rFonts w:ascii="宋体" w:cs="宋体"/>
      <w:kern w:val="0"/>
      <w:sz w:val="24"/>
    </w:rPr>
  </w:style>
  <w:style w:type="paragraph" w:customStyle="1" w:styleId="270">
    <w:name w:val="ke-message1"/>
    <w:basedOn w:val="0"/>
    <w:pPr>
      <w:widowControl/>
      <w:spacing w:before="100" w:beforeAutospacing="1" w:after="100" w:afterAutospacing="1"/>
      <w:jc w:val="center"/>
    </w:pPr>
    <w:rPr>
      <w:rFonts w:ascii="宋体" w:cs="宋体"/>
      <w:kern w:val="0"/>
      <w:sz w:val="24"/>
    </w:rPr>
  </w:style>
  <w:style w:type="paragraph" w:customStyle="1" w:styleId="271">
    <w:name w:val="ke-error1"/>
    <w:basedOn w:val="0"/>
    <w:pPr>
      <w:widowControl/>
      <w:spacing w:before="100" w:beforeAutospacing="1" w:after="100" w:afterAutospacing="1"/>
      <w:jc w:val="left"/>
    </w:pPr>
    <w:rPr>
      <w:rFonts w:ascii="宋体" w:cs="宋体"/>
      <w:color w:val="FF0000"/>
      <w:kern w:val="0"/>
      <w:sz w:val="24"/>
    </w:rPr>
  </w:style>
  <w:style w:type="paragraph" w:customStyle="1" w:styleId="272">
    <w:name w:val="ke-name1"/>
    <w:basedOn w:val="0"/>
    <w:pPr>
      <w:widowControl/>
      <w:spacing w:before="100" w:beforeAutospacing="1" w:after="100" w:afterAutospacing="1"/>
      <w:jc w:val="center"/>
    </w:pPr>
    <w:rPr>
      <w:rFonts w:ascii="宋体" w:cs="宋体"/>
      <w:kern w:val="0"/>
      <w:sz w:val="24"/>
    </w:rPr>
  </w:style>
  <w:style w:type="paragraph" w:customStyle="1" w:styleId="273">
    <w:name w:val="ke-on2"/>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4">
    <w:name w:val="ke-preview1"/>
    <w:basedOn w:val="0"/>
    <w:pPr>
      <w:widowControl/>
      <w:pBdr>
        <w:top w:val="single" w:sz="6" w:space="8" w:color="A0A0A0"/>
        <w:left w:val="single" w:sz="6" w:space="8" w:color="A0A0A0"/>
        <w:bottom w:val="single" w:sz="6" w:space="8" w:color="A0A0A0"/>
        <w:right w:val="single" w:sz="6" w:space="8" w:color="A0A0A0"/>
      </w:pBdr>
      <w:shd w:val="clear" w:color="auto" w:fill="FFFFFF"/>
      <w:spacing w:before="30" w:after="30"/>
      <w:ind w:left="30" w:right="30"/>
      <w:jc w:val="center"/>
    </w:pPr>
    <w:rPr>
      <w:rFonts w:ascii="宋体" w:cs="宋体"/>
      <w:vanish/>
      <w:kern w:val="0"/>
      <w:sz w:val="24"/>
    </w:rPr>
  </w:style>
  <w:style w:type="paragraph" w:customStyle="1" w:styleId="275">
    <w:name w:val="ke-preview-img1"/>
    <w:basedOn w:val="0"/>
    <w:pPr>
      <w:widowControl/>
      <w:jc w:val="left"/>
    </w:pPr>
    <w:rPr>
      <w:rFonts w:ascii="宋体" w:cs="宋体"/>
      <w:kern w:val="0"/>
      <w:sz w:val="24"/>
    </w:rPr>
  </w:style>
  <w:style w:type="paragraph" w:customStyle="1" w:styleId="276">
    <w:name w:val="ke-table1"/>
    <w:basedOn w:val="0"/>
    <w:pPr>
      <w:widowControl/>
      <w:jc w:val="left"/>
    </w:pPr>
    <w:rPr>
      <w:rFonts w:ascii="宋体" w:cs="宋体"/>
      <w:kern w:val="0"/>
      <w:sz w:val="24"/>
    </w:rPr>
  </w:style>
  <w:style w:type="paragraph" w:customStyle="1" w:styleId="277">
    <w:name w:val="ke-cell1"/>
    <w:basedOn w:val="0"/>
    <w:pPr>
      <w:widowControl/>
      <w:pBdr>
        <w:top w:val="single" w:sz="6" w:space="1" w:color="F0F0EE"/>
        <w:left w:val="single" w:sz="6" w:space="1" w:color="F0F0EE"/>
        <w:bottom w:val="single" w:sz="6" w:space="1" w:color="F0F0EE"/>
        <w:right w:val="single" w:sz="6" w:space="1" w:color="F0F0EE"/>
      </w:pBdr>
      <w:jc w:val="left"/>
    </w:pPr>
    <w:rPr>
      <w:rFonts w:ascii="宋体" w:cs="宋体"/>
      <w:kern w:val="0"/>
      <w:sz w:val="24"/>
    </w:rPr>
  </w:style>
  <w:style w:type="paragraph" w:customStyle="1" w:styleId="278">
    <w:name w:val="ke-on3"/>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9">
    <w:name w:val="ke-img1"/>
    <w:basedOn w:val="0"/>
    <w:pPr>
      <w:widowControl/>
      <w:jc w:val="left"/>
    </w:pPr>
    <w:rPr>
      <w:rFonts w:ascii="宋体" w:cs="宋体"/>
      <w:kern w:val="0"/>
      <w:sz w:val="24"/>
    </w:rPr>
  </w:style>
  <w:style w:type="paragraph" w:customStyle="1" w:styleId="280">
    <w:name w:val="ke-page1"/>
    <w:basedOn w:val="0"/>
    <w:pPr>
      <w:widowControl/>
      <w:spacing w:before="75" w:after="75"/>
      <w:ind w:left="75" w:right="75"/>
      <w:jc w:val="right"/>
    </w:pPr>
    <w:rPr>
      <w:rFonts w:ascii="Tahoma" w:cs="Tahoma" w:hAnsi="Tahoma"/>
      <w:color w:val="333333"/>
      <w:kern w:val="0"/>
      <w:sz w:val="18"/>
      <w:szCs w:val="18"/>
    </w:rPr>
  </w:style>
  <w:style w:type="paragraph" w:customStyle="1" w:styleId="281">
    <w:name w:val="ke-item2"/>
    <w:basedOn w:val="0"/>
    <w:pPr>
      <w:widowControl/>
      <w:spacing w:before="75" w:after="75"/>
      <w:ind w:left="75" w:right="75"/>
      <w:jc w:val="left"/>
    </w:pPr>
    <w:rPr>
      <w:rFonts w:ascii="宋体" w:cs="宋体"/>
      <w:kern w:val="0"/>
      <w:sz w:val="24"/>
    </w:rPr>
  </w:style>
  <w:style w:type="paragraph" w:customStyle="1" w:styleId="282">
    <w:name w:val="ke-photo2"/>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83">
    <w:name w:val="ke-name2"/>
    <w:basedOn w:val="0"/>
    <w:pPr>
      <w:widowControl/>
      <w:spacing w:before="100" w:beforeAutospacing="1" w:after="100" w:afterAutospacing="1"/>
      <w:jc w:val="center"/>
    </w:pPr>
    <w:rPr>
      <w:rFonts w:ascii="宋体" w:cs="宋体"/>
      <w:kern w:val="0"/>
      <w:sz w:val="24"/>
    </w:rPr>
  </w:style>
  <w:style w:type="paragraph" w:customStyle="1" w:styleId="284">
    <w:name w:val="ke-on4"/>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85">
    <w:name w:val="ke-table2"/>
    <w:basedOn w:val="0"/>
    <w:pPr>
      <w:widowControl/>
      <w:jc w:val="left"/>
    </w:pPr>
    <w:rPr>
      <w:rFonts w:ascii="宋体" w:cs="宋体"/>
      <w:kern w:val="0"/>
      <w:sz w:val="24"/>
    </w:rPr>
  </w:style>
  <w:style w:type="paragraph" w:customStyle="1" w:styleId="286">
    <w:name w:val="ke-cell2"/>
    <w:basedOn w:val="0"/>
    <w:pPr>
      <w:widowControl/>
      <w:jc w:val="left"/>
    </w:pPr>
    <w:rPr>
      <w:rFonts w:ascii="宋体" w:cs="宋体"/>
      <w:kern w:val="0"/>
      <w:sz w:val="24"/>
    </w:rPr>
  </w:style>
  <w:style w:type="paragraph" w:customStyle="1" w:styleId="287">
    <w:name w:val="ke-name3"/>
    <w:basedOn w:val="0"/>
    <w:pPr>
      <w:widowControl/>
      <w:spacing w:before="100" w:beforeAutospacing="1" w:after="100" w:afterAutospacing="1"/>
      <w:jc w:val="left"/>
    </w:pPr>
    <w:rPr>
      <w:rFonts w:ascii="宋体" w:cs="宋体"/>
      <w:kern w:val="0"/>
      <w:sz w:val="24"/>
    </w:rPr>
  </w:style>
  <w:style w:type="paragraph" w:customStyle="1" w:styleId="288">
    <w:name w:val="ke-size1"/>
    <w:basedOn w:val="0"/>
    <w:pPr>
      <w:widowControl/>
      <w:spacing w:before="100" w:beforeAutospacing="1" w:after="100" w:afterAutospacing="1"/>
      <w:jc w:val="left"/>
    </w:pPr>
    <w:rPr>
      <w:rFonts w:ascii="宋体" w:cs="宋体"/>
      <w:kern w:val="0"/>
      <w:sz w:val="24"/>
    </w:rPr>
  </w:style>
  <w:style w:type="paragraph" w:customStyle="1" w:styleId="289">
    <w:name w:val="ke-datetime1"/>
    <w:basedOn w:val="0"/>
    <w:pPr>
      <w:widowControl/>
      <w:spacing w:before="100" w:beforeAutospacing="1" w:after="100" w:afterAutospacing="1"/>
      <w:jc w:val="center"/>
    </w:pPr>
    <w:rPr>
      <w:rFonts w:ascii="宋体" w:cs="宋体"/>
      <w:kern w:val="0"/>
      <w:sz w:val="24"/>
    </w:rPr>
  </w:style>
  <w:style w:type="paragraph" w:customStyle="1" w:styleId="290">
    <w:name w:val="layui-layer-ico1"/>
    <w:basedOn w:val="0"/>
    <w:pPr>
      <w:widowControl/>
      <w:spacing w:before="100" w:beforeAutospacing="1" w:after="100" w:afterAutospacing="1"/>
      <w:jc w:val="left"/>
      <w:textAlignment w:val="top"/>
    </w:pPr>
    <w:rPr>
      <w:rFonts w:ascii="宋体" w:cs="宋体"/>
      <w:kern w:val="0"/>
      <w:sz w:val="24"/>
    </w:rPr>
  </w:style>
  <w:style w:type="paragraph" w:customStyle="1" w:styleId="291">
    <w:name w:val="layui-layer-close21"/>
    <w:basedOn w:val="0"/>
    <w:pPr>
      <w:widowControl/>
      <w:spacing w:before="100" w:beforeAutospacing="1" w:after="100" w:afterAutospacing="1"/>
      <w:jc w:val="left"/>
    </w:pPr>
    <w:rPr>
      <w:rFonts w:ascii="宋体" w:cs="宋体"/>
      <w:kern w:val="0"/>
      <w:sz w:val="24"/>
    </w:rPr>
  </w:style>
  <w:style w:type="paragraph" w:customStyle="1" w:styleId="292">
    <w:name w:val="layui-layer-btn01"/>
    <w:basedOn w:val="0"/>
    <w:pPr>
      <w:widowControl/>
      <w:shd w:val="clear" w:color="auto" w:fill="2E8DED"/>
      <w:spacing w:before="100" w:beforeAutospacing="1" w:after="100" w:afterAutospacing="1"/>
      <w:jc w:val="left"/>
    </w:pPr>
    <w:rPr>
      <w:rFonts w:ascii="宋体" w:cs="宋体"/>
      <w:color w:val="FFFFFF"/>
      <w:kern w:val="0"/>
      <w:sz w:val="24"/>
    </w:rPr>
  </w:style>
  <w:style w:type="paragraph" w:customStyle="1" w:styleId="293">
    <w:name w:val="layui-layer-content1"/>
    <w:basedOn w:val="0"/>
    <w:pPr>
      <w:widowControl/>
      <w:wordWrap w:val="0"/>
      <w:spacing w:before="100" w:beforeAutospacing="1" w:after="100" w:afterAutospacing="1" w:line="360" w:lineRule="atLeast"/>
      <w:jc w:val="left"/>
    </w:pPr>
    <w:rPr>
      <w:rFonts w:ascii="宋体" w:cs="宋体"/>
      <w:kern w:val="0"/>
      <w:szCs w:val="21"/>
    </w:rPr>
  </w:style>
  <w:style w:type="paragraph" w:customStyle="1" w:styleId="294">
    <w:name w:val="layui-layer-ico2"/>
    <w:basedOn w:val="0"/>
    <w:pPr>
      <w:widowControl/>
      <w:spacing w:before="100" w:beforeAutospacing="1" w:after="100" w:afterAutospacing="1"/>
      <w:jc w:val="left"/>
      <w:textAlignment w:val="top"/>
    </w:pPr>
    <w:rPr>
      <w:rFonts w:ascii="宋体" w:cs="宋体"/>
      <w:kern w:val="0"/>
      <w:sz w:val="24"/>
    </w:rPr>
  </w:style>
  <w:style w:type="paragraph" w:customStyle="1" w:styleId="295">
    <w:name w:val="layui-layer-content2"/>
    <w:basedOn w:val="0"/>
    <w:pPr>
      <w:widowControl/>
      <w:spacing w:before="100" w:beforeAutospacing="1" w:after="100" w:afterAutospacing="1"/>
      <w:jc w:val="center"/>
    </w:pPr>
    <w:rPr>
      <w:rFonts w:ascii="宋体" w:cs="宋体"/>
      <w:kern w:val="0"/>
      <w:sz w:val="24"/>
    </w:rPr>
  </w:style>
  <w:style w:type="paragraph" w:customStyle="1" w:styleId="296">
    <w:name w:val="layui-layer-padding1"/>
    <w:basedOn w:val="0"/>
    <w:pPr>
      <w:widowControl/>
      <w:spacing w:before="100" w:beforeAutospacing="1" w:after="100" w:afterAutospacing="1"/>
      <w:jc w:val="left"/>
    </w:pPr>
    <w:rPr>
      <w:rFonts w:ascii="宋体" w:cs="宋体"/>
      <w:kern w:val="0"/>
      <w:sz w:val="24"/>
    </w:rPr>
  </w:style>
  <w:style w:type="paragraph" w:customStyle="1" w:styleId="297">
    <w:name w:val="layui-layer-btn2"/>
    <w:basedOn w:val="0"/>
    <w:pPr>
      <w:widowControl/>
      <w:spacing w:before="100" w:beforeAutospacing="1" w:after="100" w:afterAutospacing="1"/>
      <w:jc w:val="right"/>
    </w:pPr>
    <w:rPr>
      <w:rFonts w:ascii="宋体" w:cs="宋体"/>
      <w:kern w:val="0"/>
      <w:sz w:val="24"/>
    </w:rPr>
  </w:style>
  <w:style w:type="paragraph" w:customStyle="1" w:styleId="298">
    <w:name w:val="layui-layer-btn3"/>
    <w:basedOn w:val="0"/>
    <w:pPr>
      <w:widowControl/>
      <w:spacing w:before="100" w:beforeAutospacing="1" w:after="100" w:afterAutospacing="1"/>
      <w:jc w:val="right"/>
    </w:pPr>
    <w:rPr>
      <w:rFonts w:ascii="宋体" w:cs="宋体"/>
      <w:kern w:val="0"/>
      <w:sz w:val="24"/>
    </w:rPr>
  </w:style>
  <w:style w:type="paragraph" w:customStyle="1" w:styleId="299">
    <w:name w:val="layui-layer-content3"/>
    <w:basedOn w:val="0"/>
    <w:pPr>
      <w:widowControl/>
      <w:spacing w:before="100" w:beforeAutospacing="1" w:after="100" w:afterAutospacing="1"/>
      <w:jc w:val="left"/>
    </w:pPr>
    <w:rPr>
      <w:rFonts w:ascii="宋体" w:cs="宋体"/>
      <w:kern w:val="0"/>
      <w:sz w:val="24"/>
    </w:rPr>
  </w:style>
  <w:style w:type="paragraph" w:customStyle="1" w:styleId="300">
    <w:name w:val="layui-layer-loading11"/>
    <w:basedOn w:val="0"/>
    <w:pPr>
      <w:widowControl/>
      <w:spacing w:before="100" w:beforeAutospacing="1" w:after="100" w:afterAutospacing="1"/>
      <w:jc w:val="left"/>
    </w:pPr>
    <w:rPr>
      <w:rFonts w:ascii="宋体" w:cs="宋体"/>
      <w:kern w:val="0"/>
      <w:sz w:val="24"/>
    </w:rPr>
  </w:style>
  <w:style w:type="paragraph" w:customStyle="1" w:styleId="301">
    <w:name w:val="layui-layer-loading21"/>
    <w:basedOn w:val="0"/>
    <w:pPr>
      <w:widowControl/>
      <w:spacing w:before="100" w:beforeAutospacing="1" w:after="100" w:afterAutospacing="1"/>
      <w:jc w:val="left"/>
    </w:pPr>
    <w:rPr>
      <w:rFonts w:ascii="宋体" w:cs="宋体"/>
      <w:kern w:val="0"/>
      <w:sz w:val="24"/>
    </w:rPr>
  </w:style>
  <w:style w:type="paragraph" w:customStyle="1" w:styleId="302">
    <w:name w:val="layui-layer-content4"/>
    <w:basedOn w:val="0"/>
    <w:pPr>
      <w:widowControl/>
      <w:shd w:val="clear" w:color="auto" w:fill="FF9900"/>
      <w:spacing w:before="100" w:beforeAutospacing="1" w:after="100" w:afterAutospacing="1" w:line="330" w:lineRule="atLeast"/>
      <w:jc w:val="left"/>
    </w:pPr>
    <w:rPr>
      <w:rFonts w:ascii="宋体" w:cs="宋体"/>
      <w:color w:val="FFFFFF"/>
      <w:kern w:val="0"/>
      <w:sz w:val="18"/>
      <w:szCs w:val="18"/>
    </w:rPr>
  </w:style>
  <w:style w:type="paragraph" w:customStyle="1" w:styleId="303">
    <w:name w:val="layui-layer-title1"/>
    <w:basedOn w:val="0"/>
    <w:pPr>
      <w:widowControl/>
      <w:shd w:val="clear" w:color="auto" w:fill="4476A7"/>
      <w:spacing w:before="100" w:beforeAutospacing="1" w:after="100" w:afterAutospacing="1" w:line="630" w:lineRule="atLeast"/>
      <w:jc w:val="left"/>
    </w:pPr>
    <w:rPr>
      <w:rFonts w:ascii="宋体" w:cs="宋体"/>
      <w:color w:val="FFFFFF"/>
      <w:kern w:val="0"/>
      <w:szCs w:val="21"/>
    </w:rPr>
  </w:style>
  <w:style w:type="paragraph" w:customStyle="1" w:styleId="304">
    <w:name w:val="layui-layer-btn4"/>
    <w:basedOn w:val="0"/>
    <w:pPr>
      <w:widowControl/>
      <w:pBdr>
        <w:top w:val="single" w:sz="6" w:space="8" w:color="E9E7E7"/>
      </w:pBdr>
      <w:spacing w:before="100" w:beforeAutospacing="1" w:after="100" w:afterAutospacing="1"/>
      <w:jc w:val="right"/>
    </w:pPr>
    <w:rPr>
      <w:rFonts w:ascii="宋体" w:cs="宋体"/>
      <w:kern w:val="0"/>
      <w:sz w:val="24"/>
    </w:rPr>
  </w:style>
  <w:style w:type="paragraph" w:customStyle="1" w:styleId="305">
    <w:name w:val="layui-layer-btn11"/>
    <w:basedOn w:val="0"/>
    <w:pPr>
      <w:widowControl/>
      <w:shd w:val="clear" w:color="auto" w:fill="C9C5C5"/>
      <w:spacing w:before="100" w:beforeAutospacing="1" w:after="100" w:afterAutospacing="1"/>
      <w:jc w:val="left"/>
    </w:pPr>
    <w:rPr>
      <w:rFonts w:ascii="宋体" w:cs="宋体"/>
      <w:kern w:val="0"/>
      <w:sz w:val="24"/>
    </w:rPr>
  </w:style>
  <w:style w:type="paragraph" w:customStyle="1" w:styleId="306">
    <w:name w:val="layui-layer-title2"/>
    <w:basedOn w:val="0"/>
    <w:pPr>
      <w:widowControl/>
      <w:shd w:val="clear" w:color="auto" w:fill="009F95"/>
      <w:spacing w:before="100" w:beforeAutospacing="1" w:after="100" w:afterAutospacing="1" w:line="630" w:lineRule="atLeast"/>
      <w:jc w:val="left"/>
    </w:pPr>
    <w:rPr>
      <w:rFonts w:ascii="宋体" w:cs="宋体"/>
      <w:color w:val="FFFFFF"/>
      <w:kern w:val="0"/>
      <w:szCs w:val="21"/>
    </w:rPr>
  </w:style>
  <w:style w:type="paragraph" w:customStyle="1" w:styleId="307">
    <w:name w:val="layui-layer-btn12"/>
    <w:basedOn w:val="0"/>
    <w:pPr>
      <w:widowControl/>
      <w:shd w:val="clear" w:color="auto" w:fill="92B8B1"/>
      <w:spacing w:before="100" w:beforeAutospacing="1" w:after="100" w:afterAutospacing="1"/>
      <w:jc w:val="left"/>
    </w:pPr>
    <w:rPr>
      <w:rFonts w:ascii="宋体" w:cs="宋体"/>
      <w:kern w:val="0"/>
      <w:sz w:val="24"/>
    </w:rPr>
  </w:style>
  <w:style w:type="paragraph" w:customStyle="1" w:styleId="308">
    <w:name w:val="button1"/>
    <w:basedOn w:val="0"/>
    <w:pPr>
      <w:widowControl/>
      <w:shd w:val="clear" w:color="auto" w:fill="3B91D7"/>
      <w:spacing w:before="100" w:beforeAutospacing="1" w:after="100" w:afterAutospacing="1" w:line="390" w:lineRule="atLeast"/>
      <w:jc w:val="center"/>
    </w:pPr>
    <w:rPr>
      <w:rFonts w:ascii="宋体" w:cs="宋体"/>
      <w:b/>
      <w:bCs/>
      <w:color w:val="FFFFFF"/>
      <w:kern w:val="0"/>
      <w:sz w:val="18"/>
      <w:szCs w:val="18"/>
    </w:rPr>
  </w:style>
  <w:style w:type="character" w:customStyle="1" w:styleId="309">
    <w:name w:val="未处理的提及5"/>
    <w:basedOn w:val="10"/>
    <w:rPr>
      <w:color w:val="605E5C"/>
      <w:shd w:val="clear" w:color="auto" w:fill="E1DFDD"/>
    </w:rPr>
  </w:style>
  <w:style w:type="character" w:customStyle="1" w:styleId="310">
    <w:name w:val="未处理的提及6"/>
    <w:basedOn w:val="10"/>
    <w:rPr>
      <w:color w:val="605E5C"/>
      <w:shd w:val="clear" w:color="auto" w:fill="E1DFDD"/>
    </w:rPr>
  </w:style>
  <w:style w:type="character" w:customStyle="1" w:styleId="311">
    <w:name w:val="未处理的提及7"/>
    <w:basedOn w:val="10"/>
    <w:rPr>
      <w:color w:val="605E5C"/>
      <w:shd w:val="clear" w:color="auto" w:fill="E1DFDD"/>
    </w:rPr>
  </w:style>
  <w:style w:type="character" w:customStyle="1" w:styleId="312">
    <w:name w:val="未处理的提及8"/>
    <w:basedOn w:val="10"/>
    <w:rPr>
      <w:color w:val="605E5C"/>
      <w:shd w:val="clear" w:color="auto" w:fill="E1DFDD"/>
    </w:rPr>
  </w:style>
  <w:style w:type="character" w:customStyle="1" w:styleId="313">
    <w:name w:val="未处理的提及9"/>
    <w:basedOn w:val="10"/>
    <w:rPr>
      <w:color w:val="605E5C"/>
      <w:shd w:val="clear" w:color="auto" w:fill="E1DFDD"/>
    </w:rPr>
  </w:style>
  <w:style w:type="character" w:customStyle="1" w:styleId="314">
    <w:name w:val="未处理的提及10"/>
    <w:basedOn w:val="10"/>
    <w:rPr>
      <w:color w:val="605E5C"/>
      <w:shd w:val="clear" w:color="auto" w:fill="E1DFDD"/>
    </w:rPr>
  </w:style>
  <w:style w:type="character" w:customStyle="1" w:styleId="315">
    <w:name w:val="未处理的提及11"/>
    <w:basedOn w:val="10"/>
    <w:rPr>
      <w:color w:val="605E5C"/>
      <w:shd w:val="clear" w:color="auto" w:fill="E1DFDD"/>
    </w:rPr>
  </w:style>
  <w:style w:type="character" w:customStyle="1" w:styleId="316">
    <w:name w:val="未处理的提及12"/>
    <w:basedOn w:val="10"/>
    <w:rPr>
      <w:color w:val="605E5C"/>
      <w:shd w:val="clear" w:color="auto" w:fill="E1DFDD"/>
    </w:rPr>
  </w:style>
  <w:style w:type="character" w:customStyle="1" w:styleId="317">
    <w:name w:val="未处理的提及13"/>
    <w:basedOn w:val="10"/>
    <w:rPr>
      <w:color w:val="605E5C"/>
      <w:shd w:val="clear" w:color="auto" w:fill="E1DFDD"/>
    </w:rPr>
  </w:style>
  <w:style w:type="character" w:customStyle="1" w:styleId="318">
    <w:name w:val="标题 1 字符"/>
    <w:rPr>
      <w:rFonts w:ascii="Times New Roman" w:eastAsia="宋体" w:cs="Times New Roman" w:hAnsi="Times New Roman"/>
      <w:b/>
      <w:bCs/>
      <w:kern w:val="44"/>
      <w:sz w:val="44"/>
      <w:szCs w:val="44"/>
    </w:rPr>
  </w:style>
  <w:style w:type="character" w:customStyle="1" w:styleId="319">
    <w:name w:val="未处理的提及14"/>
    <w:basedOn w:val="10"/>
    <w:rPr>
      <w:color w:val="605E5C"/>
      <w:shd w:val="clear" w:color="auto" w:fill="E1DFDD"/>
    </w:rPr>
  </w:style>
  <w:style w:type="character" w:customStyle="1" w:styleId="320">
    <w:name w:val="未处理的提及15"/>
    <w:basedOn w:val="10"/>
    <w:rPr>
      <w:color w:val="605E5C"/>
      <w:shd w:val="clear" w:color="auto" w:fill="E1DFDD"/>
    </w:rPr>
  </w:style>
  <w:style w:type="character" w:customStyle="1" w:styleId="321">
    <w:name w:val="未处理的提及16"/>
    <w:basedOn w:val="10"/>
    <w:rPr>
      <w:color w:val="605E5C"/>
      <w:shd w:val="clear" w:color="auto" w:fill="E1DFDD"/>
    </w:rPr>
  </w:style>
  <w:style w:type="character" w:customStyle="1" w:styleId="322">
    <w:name w:val="未处理的提及17"/>
    <w:basedOn w:val="10"/>
    <w:rPr>
      <w:color w:val="605E5C"/>
      <w:shd w:val="clear" w:color="auto" w:fill="E1DFDD"/>
    </w:rPr>
  </w:style>
  <w:style w:type="character" w:customStyle="1" w:styleId="323">
    <w:name w:val="未处理的提及18"/>
    <w:basedOn w:val="10"/>
    <w:rPr>
      <w:color w:val="605E5C"/>
      <w:shd w:val="clear" w:color="auto" w:fill="E1DFDD"/>
    </w:rPr>
  </w:style>
  <w:style w:type="character" w:customStyle="1" w:styleId="324">
    <w:name w:val="未处理的提及19"/>
    <w:basedOn w:val="10"/>
    <w:rPr>
      <w:color w:val="605E5C"/>
      <w:shd w:val="clear" w:color="auto" w:fill="E1DFDD"/>
    </w:rPr>
  </w:style>
  <w:style w:type="character" w:customStyle="1" w:styleId="325">
    <w:name w:val="未处理的提及20"/>
    <w:basedOn w:val="10"/>
    <w:rPr>
      <w:color w:val="605E5C"/>
      <w:shd w:val="clear" w:color="auto" w:fill="E1DFDD"/>
    </w:rPr>
  </w:style>
  <w:style w:type="character" w:customStyle="1" w:styleId="326">
    <w:name w:val="未处理的提及21"/>
    <w:basedOn w:val="10"/>
    <w:rPr>
      <w:color w:val="605E5C"/>
      <w:shd w:val="clear" w:color="auto" w:fill="E1DFDD"/>
    </w:rPr>
  </w:style>
  <w:style w:type="character" w:customStyle="1" w:styleId="327">
    <w:name w:val="未处理的提及22"/>
    <w:basedOn w:val="10"/>
    <w:rPr>
      <w:color w:val="605E5C"/>
      <w:shd w:val="clear" w:color="auto" w:fill="E1DFDD"/>
    </w:rPr>
  </w:style>
  <w:style w:type="character" w:customStyle="1" w:styleId="328">
    <w:name w:val="未处理的提及23"/>
    <w:basedOn w:val="10"/>
    <w:rPr>
      <w:color w:val="605E5C"/>
      <w:shd w:val="clear" w:color="auto" w:fill="E1DFDD"/>
    </w:rPr>
  </w:style>
  <w:style w:type="character" w:customStyle="1" w:styleId="329">
    <w:name w:val="未处理的提及24"/>
    <w:basedOn w:val="10"/>
    <w:rPr>
      <w:color w:val="605E5C"/>
      <w:shd w:val="clear" w:color="auto" w:fill="E1DFDD"/>
    </w:rPr>
  </w:style>
  <w:style w:type="character" w:customStyle="1" w:styleId="330">
    <w:name w:val="未处理的提及25"/>
    <w:basedOn w:val="10"/>
    <w:rPr>
      <w:color w:val="605E5C"/>
      <w:shd w:val="clear" w:color="auto" w:fill="E1DFDD"/>
    </w:rPr>
  </w:style>
  <w:style w:type="character" w:customStyle="1" w:styleId="331">
    <w:name w:val="未处理的提及26"/>
    <w:basedOn w:val="10"/>
    <w:rPr>
      <w:color w:val="605E5C"/>
      <w:shd w:val="clear" w:color="auto" w:fill="E1DFDD"/>
    </w:rPr>
  </w:style>
  <w:style w:type="character" w:customStyle="1" w:styleId="332">
    <w:name w:val="未处理的提及27"/>
    <w:basedOn w:val="10"/>
    <w:rPr>
      <w:color w:val="605E5C"/>
      <w:shd w:val="clear" w:color="auto" w:fill="E1DFDD"/>
    </w:rPr>
  </w:style>
  <w:style w:type="character" w:customStyle="1" w:styleId="333">
    <w:name w:val="未处理的提及28"/>
    <w:basedOn w:val="10"/>
    <w:rPr>
      <w:color w:val="605E5C"/>
      <w:shd w:val="clear" w:color="auto" w:fill="E1DFDD"/>
    </w:rPr>
  </w:style>
  <w:style w:type="character" w:customStyle="1" w:styleId="334">
    <w:name w:val="未处理的提及29"/>
    <w:basedOn w:val="10"/>
    <w:rPr>
      <w:color w:val="605E5C"/>
      <w:shd w:val="clear" w:color="auto" w:fill="E1DFDD"/>
    </w:rPr>
  </w:style>
  <w:style w:type="paragraph" w:customStyle="1" w:styleId="335">
    <w:name w:val="题目"/>
    <w:next w:val="0"/>
    <w:pPr>
      <w:keepNext/>
      <w:outlineLvl w:val="0"/>
    </w:pPr>
    <w:rPr>
      <w:rFonts w:ascii="Arial Unicode MS" w:eastAsia="Helvetica" w:cs="Arial Unicode MS" w:hAnsi="Arial Unicode MS"/>
      <w:b/>
      <w:bCs/>
      <w:color w:val="000000"/>
      <w:sz w:val="36"/>
      <w:szCs w:val="36"/>
      <w:lang w:val="zh-CN" w:eastAsia="zh-CN" w:bidi="ar-SA"/>
    </w:rPr>
  </w:style>
  <w:style w:type="character" w:customStyle="1" w:styleId="336">
    <w:name w:val="未处理的提及30"/>
    <w:basedOn w:val="10"/>
    <w:rPr>
      <w:color w:val="605E5C"/>
      <w:shd w:val="clear" w:color="auto" w:fill="E1DFDD"/>
    </w:rPr>
  </w:style>
  <w:style w:type="character" w:customStyle="1" w:styleId="337">
    <w:name w:val="未处理的提及31"/>
    <w:basedOn w:val="10"/>
    <w:rPr>
      <w:color w:val="605E5C"/>
      <w:shd w:val="clear" w:color="auto" w:fill="E1DFDD"/>
    </w:rPr>
  </w:style>
  <w:style w:type="character" w:customStyle="1" w:styleId="338">
    <w:name w:val="未处理的提及32"/>
    <w:basedOn w:val="10"/>
    <w:rPr>
      <w:color w:val="605E5C"/>
      <w:shd w:val="clear" w:color="auto" w:fill="E1DFDD"/>
    </w:rPr>
  </w:style>
  <w:style w:type="character" w:customStyle="1" w:styleId="339">
    <w:name w:val="未处理的提及33"/>
    <w:basedOn w:val="10"/>
    <w:rPr>
      <w:color w:val="605E5C"/>
      <w:shd w:val="clear" w:color="auto" w:fill="E1DFDD"/>
    </w:rPr>
  </w:style>
  <w:style w:type="character" w:customStyle="1" w:styleId="340">
    <w:name w:val="ordinary-span-edit2"/>
    <w:basedOn w:val="10"/>
  </w:style>
  <w:style w:type="character" w:customStyle="1" w:styleId="341">
    <w:name w:val="未处理的提及34"/>
    <w:basedOn w:val="10"/>
    <w:rPr>
      <w:color w:val="605E5C"/>
      <w:shd w:val="clear" w:color="auto" w:fill="E1DFDD"/>
    </w:rPr>
  </w:style>
  <w:style w:type="character" w:customStyle="1" w:styleId="342">
    <w:name w:val="未处理的提及35"/>
    <w:basedOn w:val="10"/>
    <w:rPr>
      <w:color w:val="605E5C"/>
      <w:shd w:val="clear" w:color="auto" w:fill="E1DFDD"/>
    </w:rPr>
  </w:style>
  <w:style w:type="character" w:customStyle="1" w:styleId="343">
    <w:name w:val="未处理的提及36"/>
    <w:basedOn w:val="10"/>
    <w:rPr>
      <w:color w:val="605E5C"/>
      <w:shd w:val="clear" w:color="auto" w:fill="E1DFDD"/>
    </w:rPr>
  </w:style>
  <w:style w:type="character" w:customStyle="1" w:styleId="344">
    <w:name w:val="未处理的提及37"/>
    <w:basedOn w:val="10"/>
    <w:rPr>
      <w:color w:val="605E5C"/>
      <w:shd w:val="clear" w:color="auto" w:fill="E1DFDD"/>
    </w:rPr>
  </w:style>
  <w:style w:type="character" w:customStyle="1" w:styleId="345">
    <w:name w:val="未处理的提及38"/>
    <w:basedOn w:val="10"/>
    <w:rPr>
      <w:color w:val="605E5C"/>
      <w:shd w:val="clear" w:color="auto" w:fill="E1DFDD"/>
    </w:rPr>
  </w:style>
  <w:style w:type="character" w:customStyle="1" w:styleId="346">
    <w:name w:val="未处理的提及39"/>
    <w:basedOn w:val="10"/>
    <w:rPr>
      <w:color w:val="605E5C"/>
      <w:shd w:val="clear" w:color="auto" w:fill="E1DFDD"/>
    </w:rPr>
  </w:style>
  <w:style w:type="paragraph" w:customStyle="1" w:styleId="347">
    <w:name w:val="列表段落2"/>
    <w:basedOn w:val="0"/>
    <w:pPr>
      <w:ind w:firstLineChars="200" w:firstLine="200"/>
    </w:pPr>
  </w:style>
  <w:style w:type="character" w:customStyle="1" w:styleId="348">
    <w:name w:val="font7"/>
    <w:basedOn w:val="10"/>
  </w:style>
  <w:style w:type="character" w:customStyle="1" w:styleId="349">
    <w:name w:val="font6"/>
    <w:basedOn w:val="10"/>
  </w:style>
  <w:style w:type="character" w:customStyle="1" w:styleId="350">
    <w:name w:val="font8"/>
    <w:basedOn w:val="10"/>
  </w:style>
  <w:style w:type="character" w:customStyle="1" w:styleId="351">
    <w:name w:val="font9"/>
    <w:basedOn w:val="10"/>
  </w:style>
  <w:style w:type="character" w:customStyle="1" w:styleId="352">
    <w:name w:val="rich_media_meta"/>
    <w:basedOn w:val="10"/>
  </w:style>
  <w:style w:type="character" w:customStyle="1" w:styleId="353">
    <w:name w:val="未处理的提及40"/>
    <w:basedOn w:val="10"/>
    <w:rPr>
      <w:color w:val="605E5C"/>
      <w:shd w:val="clear" w:color="auto" w:fill="E1DFDD"/>
    </w:rPr>
  </w:style>
  <w:style w:type="character" w:customStyle="1" w:styleId="354">
    <w:name w:val="未处理的提及41"/>
    <w:basedOn w:val="10"/>
    <w:rPr>
      <w:color w:val="605E5C"/>
      <w:shd w:val="clear" w:color="auto" w:fill="E1DFDD"/>
    </w:rPr>
  </w:style>
  <w:style w:type="character" w:customStyle="1" w:styleId="355">
    <w:name w:val="未处理的提及42"/>
    <w:basedOn w:val="10"/>
    <w:rPr>
      <w:color w:val="605E5C"/>
      <w:shd w:val="clear" w:color="auto" w:fill="E1DFDD"/>
    </w:rPr>
  </w:style>
  <w:style w:type="character" w:customStyle="1" w:styleId="356">
    <w:name w:val="font10"/>
    <w:basedOn w:val="10"/>
  </w:style>
  <w:style w:type="character" w:customStyle="1" w:styleId="357">
    <w:name w:val="font1"/>
    <w:basedOn w:val="10"/>
  </w:style>
  <w:style w:type="character" w:customStyle="1" w:styleId="358">
    <w:name w:val="font4"/>
    <w:basedOn w:val="10"/>
  </w:style>
  <w:style w:type="character" w:customStyle="1" w:styleId="359">
    <w:name w:val="未处理的提及43"/>
    <w:basedOn w:val="10"/>
    <w:rPr>
      <w:color w:val="605E5C"/>
      <w:shd w:val="clear" w:color="auto" w:fill="E1DFDD"/>
    </w:rPr>
  </w:style>
  <w:style w:type="paragraph" w:customStyle="1" w:styleId="360">
    <w:name w:val="表格内容"/>
    <w:basedOn w:val="18"/>
    <w:pPr>
      <w:keepLines/>
      <w:widowControl w:val="0"/>
      <w:suppressAutoHyphens/>
    </w:pPr>
    <w:rPr>
      <w:rFonts w:ascii="Times New Roman" w:eastAsia="宋体" w:cs="Mangal" w:hAnsi="Times New Roman"/>
      <w:color w:val="000000"/>
      <w:sz w:val="24"/>
      <w:szCs w:val="24"/>
    </w:rPr>
  </w:style>
  <w:style w:type="character" w:customStyle="1" w:styleId="361">
    <w:name w:val="font5"/>
    <w:basedOn w:val="10"/>
  </w:style>
  <w:style w:type="character" w:customStyle="1" w:styleId="362">
    <w:name w:val="oj-italic"/>
    <w:basedOn w:val="10"/>
  </w:style>
  <w:style w:type="character" w:customStyle="1" w:styleId="363">
    <w:name w:val="未处理的提及44"/>
    <w:basedOn w:val="10"/>
    <w:rPr>
      <w:color w:val="605E5C"/>
      <w:shd w:val="clear" w:color="auto" w:fill="E1DFDD"/>
    </w:rPr>
  </w:style>
  <w:style w:type="character" w:customStyle="1" w:styleId="364">
    <w:name w:val="未处理的提及45"/>
    <w:basedOn w:val="10"/>
    <w:rPr>
      <w:color w:val="605E5C"/>
      <w:shd w:val="clear" w:color="auto" w:fill="E1DFDD"/>
    </w:rPr>
  </w:style>
  <w:style w:type="character" w:customStyle="1" w:styleId="365">
    <w:name w:val="未处理的提及46"/>
    <w:basedOn w:val="10"/>
    <w:rPr>
      <w:color w:val="605E5C"/>
      <w:shd w:val="clear" w:color="auto" w:fill="E1DFDD"/>
    </w:rPr>
  </w:style>
  <w:style w:type="paragraph" w:customStyle="1" w:styleId="366">
    <w:name w:val="ordinary-output"/>
    <w:basedOn w:val="0"/>
    <w:pPr>
      <w:widowControl/>
      <w:spacing w:before="100" w:beforeAutospacing="1" w:after="100" w:afterAutospacing="1" w:line="450" w:lineRule="atLeast"/>
      <w:jc w:val="left"/>
    </w:pPr>
    <w:rPr>
      <w:rFonts w:ascii="宋体" w:cs="宋体"/>
      <w:color w:val="333333"/>
      <w:kern w:val="0"/>
      <w:sz w:val="36"/>
      <w:szCs w:val="36"/>
    </w:rPr>
  </w:style>
  <w:style w:type="paragraph" w:customStyle="1" w:styleId="367">
    <w:name w:val="luoma-pinyin-kor"/>
    <w:basedOn w:val="0"/>
    <w:pPr>
      <w:widowControl/>
      <w:spacing w:before="100" w:beforeAutospacing="1" w:after="100" w:afterAutospacing="1" w:line="330" w:lineRule="atLeast"/>
      <w:jc w:val="left"/>
    </w:pPr>
    <w:rPr>
      <w:rFonts w:ascii="宋体" w:cs="宋体"/>
      <w:color w:val="333333"/>
      <w:kern w:val="0"/>
      <w:sz w:val="24"/>
    </w:rPr>
  </w:style>
  <w:style w:type="character" w:customStyle="1" w:styleId="368">
    <w:name w:val="luoma-output-item1"/>
    <w:basedOn w:val="10"/>
  </w:style>
  <w:style w:type="character" w:customStyle="1" w:styleId="369">
    <w:name w:val="luoma-output-kor"/>
    <w:basedOn w:val="10"/>
  </w:style>
  <w:style w:type="character" w:customStyle="1" w:styleId="370">
    <w:name w:val="未处理的提及47"/>
    <w:basedOn w:val="10"/>
    <w:rPr>
      <w:color w:val="605E5C"/>
      <w:shd w:val="clear" w:color="auto" w:fill="E1DFDD"/>
    </w:rPr>
  </w:style>
  <w:style w:type="character" w:customStyle="1" w:styleId="371">
    <w:name w:val="未处理的提及48"/>
    <w:basedOn w:val="10"/>
    <w:rPr>
      <w:color w:val="605E5C"/>
      <w:shd w:val="clear" w:color="auto" w:fill="E1DFDD"/>
    </w:rPr>
  </w:style>
  <w:style w:type="character" w:customStyle="1" w:styleId="372">
    <w:name w:val="未处理的提及49"/>
    <w:basedOn w:val="10"/>
    <w:rPr>
      <w:color w:val="605E5C"/>
      <w:shd w:val="clear" w:color="auto" w:fill="E1DFDD"/>
    </w:rPr>
  </w:style>
  <w:style w:type="character" w:customStyle="1" w:styleId="373">
    <w:name w:val="未处理的提及50"/>
    <w:basedOn w:val="10"/>
    <w:rPr>
      <w:color w:val="605E5C"/>
      <w:shd w:val="clear" w:color="auto" w:fill="E1DFDD"/>
    </w:rPr>
  </w:style>
  <w:style w:type="character" w:customStyle="1" w:styleId="374">
    <w:name w:val="未处理的提及51"/>
    <w:basedOn w:val="10"/>
    <w:rPr>
      <w:color w:val="605E5C"/>
      <w:shd w:val="clear" w:color="auto" w:fill="E1DFDD"/>
    </w:rPr>
  </w:style>
  <w:style w:type="character" w:customStyle="1" w:styleId="375">
    <w:name w:val="font12"/>
    <w:basedOn w:val="10"/>
  </w:style>
  <w:style w:type="character" w:customStyle="1" w:styleId="376">
    <w:name w:val="font11"/>
    <w:basedOn w:val="10"/>
  </w:style>
  <w:style w:type="character" w:customStyle="1" w:styleId="377">
    <w:name w:val="font13"/>
    <w:basedOn w:val="10"/>
  </w:style>
  <w:style w:type="character" w:customStyle="1" w:styleId="378">
    <w:name w:val="未处理的提及52"/>
    <w:basedOn w:val="10"/>
    <w:rPr>
      <w:color w:val="605E5C"/>
      <w:shd w:val="clear" w:color="auto" w:fill="E1DFDD"/>
    </w:rPr>
  </w:style>
  <w:style w:type="character" w:customStyle="1" w:styleId="379">
    <w:name w:val="未处理的提及53"/>
    <w:basedOn w:val="10"/>
    <w:rPr>
      <w:color w:val="605E5C"/>
      <w:shd w:val="clear" w:color="auto" w:fill="E1DFDD"/>
    </w:rPr>
  </w:style>
  <w:style w:type="character" w:customStyle="1" w:styleId="380">
    <w:name w:val="font0"/>
    <w:basedOn w:val="10"/>
  </w:style>
  <w:style w:type="character" w:customStyle="1" w:styleId="381">
    <w:name w:val="font3"/>
    <w:basedOn w:val="10"/>
  </w:style>
  <w:style w:type="character" w:customStyle="1" w:styleId="382">
    <w:name w:val="font2"/>
    <w:basedOn w:val="10"/>
  </w:style>
  <w:style w:type="character" w:customStyle="1" w:styleId="383">
    <w:name w:val="未处理的提及54"/>
    <w:basedOn w:val="10"/>
    <w:rPr>
      <w:color w:val="605E5C"/>
      <w:shd w:val="clear" w:color="auto" w:fill="E1DFDD"/>
    </w:rPr>
  </w:style>
  <w:style w:type="character" w:customStyle="1" w:styleId="384">
    <w:name w:val="未处理的提及55"/>
    <w:basedOn w:val="10"/>
    <w:rPr>
      <w:color w:val="605E5C"/>
      <w:shd w:val="clear" w:color="auto" w:fill="E1DFDD"/>
    </w:rPr>
  </w:style>
  <w:style w:type="character" w:customStyle="1" w:styleId="385">
    <w:name w:val="未处理的提及56"/>
    <w:basedOn w:val="10"/>
    <w:rPr>
      <w:color w:val="605E5C"/>
      <w:shd w:val="clear" w:color="auto" w:fill="E1DFDD"/>
    </w:rPr>
  </w:style>
  <w:style w:type="character" w:customStyle="1" w:styleId="386">
    <w:name w:val="未处理的提及57"/>
    <w:basedOn w:val="10"/>
    <w:rPr>
      <w:color w:val="605E5C"/>
      <w:shd w:val="clear" w:color="auto" w:fill="E1DFDD"/>
    </w:rPr>
  </w:style>
  <w:style w:type="character" w:customStyle="1" w:styleId="387">
    <w:name w:val="未处理的提及58"/>
    <w:basedOn w:val="10"/>
    <w:rPr>
      <w:color w:val="605E5C"/>
      <w:shd w:val="clear" w:color="auto" w:fill="E1DFDD"/>
    </w:rPr>
  </w:style>
  <w:style w:type="character" w:customStyle="1" w:styleId="388">
    <w:name w:val="未处理的提及59"/>
    <w:basedOn w:val="10"/>
    <w:rPr>
      <w:color w:val="605E5C"/>
      <w:shd w:val="clear" w:color="auto" w:fill="E1DFDD"/>
    </w:rPr>
  </w:style>
  <w:style w:type="paragraph" w:customStyle="1" w:styleId="389">
    <w:name w:val="修订2"/>
    <w:rPr>
      <w:rFonts w:ascii="Times New Roman" w:eastAsia="宋体" w:cs="Times New Roman" w:hAnsi="Times New Roman"/>
      <w:kern w:val="2"/>
      <w:sz w:val="21"/>
      <w:szCs w:val="24"/>
      <w:lang w:val="en-US" w:eastAsia="zh-CN" w:bidi="ar-SA"/>
    </w:rPr>
  </w:style>
  <w:style w:type="character" w:customStyle="1" w:styleId="390">
    <w:name w:val="未处理的提及60"/>
    <w:basedOn w:val="10"/>
    <w:rPr>
      <w:color w:val="605E5C"/>
      <w:shd w:val="clear" w:color="auto" w:fill="E1DFDD"/>
    </w:rPr>
  </w:style>
  <w:style w:type="character" w:customStyle="1" w:styleId="391">
    <w:name w:val="未处理的提及61"/>
    <w:basedOn w:val="10"/>
    <w:rPr>
      <w:color w:val="605E5C"/>
      <w:shd w:val="clear" w:color="auto" w:fill="E1DFDD"/>
    </w:rPr>
  </w:style>
  <w:style w:type="character" w:customStyle="1" w:styleId="392">
    <w:name w:val="未处理的提及62"/>
    <w:basedOn w:val="10"/>
    <w:rPr>
      <w:color w:val="605E5C"/>
      <w:shd w:val="clear" w:color="auto" w:fill="E1DFDD"/>
    </w:rPr>
  </w:style>
  <w:style w:type="character" w:customStyle="1" w:styleId="393">
    <w:name w:val="未处理的提及63"/>
    <w:basedOn w:val="10"/>
    <w:rPr>
      <w:color w:val="605E5C"/>
      <w:shd w:val="clear" w:color="auto" w:fill="E1DFDD"/>
    </w:rPr>
  </w:style>
  <w:style w:type="character" w:customStyle="1" w:styleId="394">
    <w:name w:val="jlqj4b"/>
    <w:basedOn w:val="10"/>
  </w:style>
  <w:style w:type="character" w:customStyle="1" w:styleId="395">
    <w:name w:val="未处理的提及64"/>
    <w:basedOn w:val="10"/>
    <w:rPr>
      <w:color w:val="605E5C"/>
      <w:shd w:val="clear" w:color="auto" w:fill="E1DFDD"/>
    </w:rPr>
  </w:style>
  <w:style w:type="character" w:customStyle="1" w:styleId="396">
    <w:name w:val="未处理的提及65"/>
    <w:basedOn w:val="10"/>
    <w:rPr>
      <w:color w:val="605E5C"/>
      <w:shd w:val="clear" w:color="auto" w:fill="E1DFDD"/>
    </w:rPr>
  </w:style>
  <w:style w:type="character" w:customStyle="1" w:styleId="397">
    <w:name w:val="oj-super"/>
    <w:basedOn w:val="10"/>
  </w:style>
  <w:style w:type="character" w:customStyle="1" w:styleId="398">
    <w:name w:val="未处理的提及66"/>
    <w:basedOn w:val="10"/>
    <w:rPr>
      <w:color w:val="605E5C"/>
      <w:shd w:val="clear" w:color="auto" w:fill="E1DFDD"/>
    </w:rPr>
  </w:style>
  <w:style w:type="character" w:customStyle="1" w:styleId="399">
    <w:name w:val="未处理的提及67"/>
    <w:basedOn w:val="10"/>
    <w:rPr>
      <w:color w:val="605E5C"/>
      <w:shd w:val="clear" w:color="auto" w:fill="E1DFDD"/>
    </w:rPr>
  </w:style>
  <w:style w:type="character" w:customStyle="1" w:styleId="400">
    <w:name w:val="未处理的提及68"/>
    <w:basedOn w:val="10"/>
    <w:rPr>
      <w:color w:val="605E5C"/>
      <w:shd w:val="clear" w:color="auto" w:fill="E1DFDD"/>
    </w:rPr>
  </w:style>
  <w:style w:type="character" w:customStyle="1" w:styleId="401">
    <w:name w:val="未处理的提及69"/>
    <w:basedOn w:val="10"/>
    <w:rPr>
      <w:color w:val="605E5C"/>
      <w:shd w:val="clear" w:color="auto" w:fill="E1DFDD"/>
    </w:rPr>
  </w:style>
  <w:style w:type="character" w:customStyle="1" w:styleId="402">
    <w:name w:val="未处理的提及70"/>
    <w:basedOn w:val="10"/>
    <w:rPr>
      <w:color w:val="605E5C"/>
      <w:shd w:val="clear" w:color="auto" w:fill="E1DFDD"/>
    </w:rPr>
  </w:style>
  <w:style w:type="character" w:customStyle="1" w:styleId="403">
    <w:name w:val="未处理的提及71"/>
    <w:basedOn w:val="10"/>
    <w:rPr>
      <w:color w:val="605E5C"/>
      <w:shd w:val="clear" w:color="auto" w:fill="E1DFDD"/>
    </w:rPr>
  </w:style>
  <w:style w:type="character" w:customStyle="1" w:styleId="404">
    <w:name w:val="未处理的提及72"/>
    <w:basedOn w:val="10"/>
    <w:rPr>
      <w:color w:val="605E5C"/>
      <w:shd w:val="clear" w:color="auto" w:fill="E1DFDD"/>
    </w:rPr>
  </w:style>
  <w:style w:type="character" w:customStyle="1" w:styleId="405">
    <w:name w:val="未处理的提及73"/>
    <w:basedOn w:val="10"/>
    <w:rPr>
      <w:color w:val="605E5C"/>
      <w:shd w:val="clear" w:color="auto" w:fill="E1DFDD"/>
    </w:rPr>
  </w:style>
  <w:style w:type="character" w:customStyle="1" w:styleId="406">
    <w:name w:val="未处理的提及74"/>
    <w:basedOn w:val="10"/>
    <w:rPr>
      <w:color w:val="605E5C"/>
      <w:shd w:val="clear" w:color="auto" w:fill="E1DFDD"/>
    </w:rPr>
  </w:style>
  <w:style w:type="character" w:customStyle="1" w:styleId="407">
    <w:name w:val="未处理的提及75"/>
    <w:basedOn w:val="10"/>
    <w:rPr>
      <w:color w:val="605E5C"/>
      <w:shd w:val="clear" w:color="auto" w:fill="E1DFDD"/>
    </w:rPr>
  </w:style>
  <w:style w:type="character" w:customStyle="1" w:styleId="408">
    <w:name w:val="未处理的提及76"/>
    <w:basedOn w:val="10"/>
    <w:rPr>
      <w:color w:val="605E5C"/>
      <w:shd w:val="clear" w:color="auto" w:fill="E1DFDD"/>
    </w:rPr>
  </w:style>
  <w:style w:type="character" w:customStyle="1" w:styleId="409">
    <w:name w:val="未处理的提及77"/>
    <w:basedOn w:val="10"/>
    <w:rPr>
      <w:color w:val="605E5C"/>
      <w:shd w:val="clear" w:color="auto" w:fill="E1DFDD"/>
    </w:rPr>
  </w:style>
  <w:style w:type="character" w:customStyle="1" w:styleId="410">
    <w:name w:val="未处理的提及78"/>
    <w:basedOn w:val="10"/>
    <w:rPr>
      <w:color w:val="605E5C"/>
      <w:shd w:val="clear" w:color="auto" w:fill="E1DFDD"/>
    </w:rPr>
  </w:style>
  <w:style w:type="character" w:customStyle="1" w:styleId="411">
    <w:name w:val="未处理的提及79"/>
    <w:basedOn w:val="10"/>
    <w:rPr>
      <w:color w:val="605E5C"/>
      <w:shd w:val="clear" w:color="auto" w:fill="E1DFDD"/>
    </w:rPr>
  </w:style>
  <w:style w:type="character" w:customStyle="1" w:styleId="412">
    <w:name w:val="viiyi"/>
    <w:basedOn w:val="10"/>
  </w:style>
  <w:style w:type="character" w:customStyle="1" w:styleId="413">
    <w:name w:val="未处理的提及80"/>
    <w:basedOn w:val="10"/>
    <w:rPr>
      <w:color w:val="605E5C"/>
      <w:shd w:val="clear" w:color="auto" w:fill="E1DFDD"/>
    </w:rPr>
  </w:style>
  <w:style w:type="character" w:customStyle="1" w:styleId="414">
    <w:name w:val="未处理的提及81"/>
    <w:basedOn w:val="10"/>
    <w:rPr>
      <w:color w:val="605E5C"/>
      <w:shd w:val="clear" w:color="auto" w:fill="E1DFDD"/>
    </w:rPr>
  </w:style>
  <w:style w:type="character" w:customStyle="1" w:styleId="415">
    <w:name w:val="未处理的提及82"/>
    <w:basedOn w:val="10"/>
    <w:rPr>
      <w:color w:val="605E5C"/>
      <w:shd w:val="clear" w:color="auto" w:fill="E1DFDD"/>
    </w:rPr>
  </w:style>
  <w:style w:type="character" w:customStyle="1" w:styleId="416">
    <w:name w:val="未处理的提及83"/>
    <w:basedOn w:val="10"/>
    <w:rPr>
      <w:color w:val="605E5C"/>
      <w:shd w:val="clear" w:color="auto" w:fill="E1DFDD"/>
    </w:rPr>
  </w:style>
  <w:style w:type="character" w:customStyle="1" w:styleId="417">
    <w:name w:val="未处理的提及84"/>
    <w:basedOn w:val="10"/>
    <w:rPr>
      <w:color w:val="605E5C"/>
      <w:shd w:val="clear" w:color="auto" w:fill="E1DFDD"/>
    </w:rPr>
  </w:style>
  <w:style w:type="character" w:customStyle="1" w:styleId="418">
    <w:name w:val="未处理的提及85"/>
    <w:basedOn w:val="10"/>
    <w:rPr>
      <w:color w:val="605E5C"/>
      <w:shd w:val="clear" w:color="auto" w:fill="E1DFDD"/>
    </w:rPr>
  </w:style>
  <w:style w:type="character" w:customStyle="1" w:styleId="419">
    <w:name w:val="未处理的提及86"/>
    <w:basedOn w:val="10"/>
    <w:rPr>
      <w:color w:val="605E5C"/>
      <w:shd w:val="clear" w:color="auto" w:fill="E1DFDD"/>
    </w:rPr>
  </w:style>
  <w:style w:type="character" w:customStyle="1" w:styleId="420">
    <w:name w:val="未处理的提及87"/>
    <w:basedOn w:val="10"/>
    <w:rPr>
      <w:color w:val="605E5C"/>
      <w:shd w:val="clear" w:color="auto" w:fill="E1DFDD"/>
    </w:rPr>
  </w:style>
  <w:style w:type="character" w:customStyle="1" w:styleId="421">
    <w:name w:val="oj-bold"/>
    <w:basedOn w:val="10"/>
  </w:style>
  <w:style w:type="character" w:customStyle="1" w:styleId="422">
    <w:name w:val="未处理的提及88"/>
    <w:basedOn w:val="10"/>
    <w:rPr>
      <w:color w:val="605E5C"/>
      <w:shd w:val="clear" w:color="auto" w:fill="E1DFDD"/>
    </w:rPr>
  </w:style>
  <w:style w:type="character" w:customStyle="1" w:styleId="423">
    <w:name w:val="未处理的提及89"/>
    <w:basedOn w:val="10"/>
    <w:rPr>
      <w:color w:val="605E5C"/>
      <w:shd w:val="clear" w:color="auto" w:fill="E1DFDD"/>
    </w:rPr>
  </w:style>
  <w:style w:type="character" w:customStyle="1" w:styleId="424">
    <w:name w:val="未处理的提及90"/>
    <w:basedOn w:val="10"/>
    <w:rPr>
      <w:color w:val="605E5C"/>
      <w:shd w:val="clear" w:color="auto" w:fill="E1DFDD"/>
    </w:rPr>
  </w:style>
  <w:style w:type="character" w:customStyle="1" w:styleId="425">
    <w:name w:val="未处理的提及91"/>
    <w:basedOn w:val="10"/>
    <w:rPr>
      <w:color w:val="605E5C"/>
      <w:shd w:val="clear" w:color="auto" w:fill="E1DFDD"/>
    </w:rPr>
  </w:style>
  <w:style w:type="character" w:customStyle="1" w:styleId="426">
    <w:name w:val="未处理的提及92"/>
    <w:basedOn w:val="10"/>
    <w:rPr>
      <w:color w:val="605E5C"/>
      <w:shd w:val="clear" w:color="auto" w:fill="E1DFDD"/>
    </w:rPr>
  </w:style>
  <w:style w:type="character" w:customStyle="1" w:styleId="427">
    <w:name w:val="未处理的提及93"/>
    <w:basedOn w:val="10"/>
    <w:rPr>
      <w:color w:val="605E5C"/>
      <w:shd w:val="clear" w:color="auto" w:fill="E1DFDD"/>
    </w:rPr>
  </w:style>
  <w:style w:type="character" w:customStyle="1" w:styleId="428">
    <w:name w:val="未处理的提及94"/>
    <w:basedOn w:val="10"/>
    <w:rPr>
      <w:color w:val="605E5C"/>
      <w:shd w:val="clear" w:color="auto" w:fill="E1DFDD"/>
    </w:rPr>
  </w:style>
  <w:style w:type="character" w:customStyle="1" w:styleId="429">
    <w:name w:val="未处理的提及95"/>
    <w:basedOn w:val="10"/>
    <w:rPr>
      <w:color w:val="605E5C"/>
      <w:shd w:val="clear" w:color="auto" w:fill="E1DFDD"/>
    </w:rPr>
  </w:style>
  <w:style w:type="character" w:customStyle="1" w:styleId="430">
    <w:name w:val="未处理的提及96"/>
    <w:basedOn w:val="10"/>
    <w:rPr>
      <w:color w:val="605E5C"/>
      <w:shd w:val="clear" w:color="auto" w:fill="E1DFDD"/>
    </w:rPr>
  </w:style>
  <w:style w:type="character" w:customStyle="1" w:styleId="431">
    <w:name w:val="未处理的提及97"/>
    <w:basedOn w:val="10"/>
    <w:rPr>
      <w:color w:val="605E5C"/>
      <w:shd w:val="clear" w:color="auto" w:fill="E1DFDD"/>
    </w:rPr>
  </w:style>
  <w:style w:type="character" w:customStyle="1" w:styleId="432">
    <w:name w:val="未处理的提及98"/>
    <w:basedOn w:val="10"/>
    <w:rPr>
      <w:color w:val="605E5C"/>
      <w:shd w:val="clear" w:color="auto" w:fill="E1DFDD"/>
    </w:rPr>
  </w:style>
  <w:style w:type="character" w:customStyle="1" w:styleId="433">
    <w:name w:val="未处理的提及99"/>
    <w:basedOn w:val="10"/>
    <w:rPr>
      <w:color w:val="605E5C"/>
      <w:shd w:val="clear" w:color="auto" w:fill="E1DFDD"/>
    </w:rPr>
  </w:style>
  <w:style w:type="paragraph" w:styleId="434">
    <w:name w:val="List Paragraph"/>
    <w:basedOn w:val="0"/>
    <w:pPr>
      <w:ind w:firstLineChars="200" w:firstLine="200"/>
    </w:pPr>
  </w:style>
  <w:style w:type="character" w:customStyle="1" w:styleId="435">
    <w:name w:val="未处理的提及100"/>
    <w:basedOn w:val="10"/>
    <w:rPr>
      <w:color w:val="605E5C"/>
      <w:shd w:val="clear" w:color="auto" w:fill="E1DFDD"/>
    </w:rPr>
  </w:style>
  <w:style w:type="character" w:customStyle="1" w:styleId="436">
    <w:name w:val="未处理的提及101"/>
    <w:basedOn w:val="10"/>
    <w:rPr>
      <w:color w:val="605E5C"/>
      <w:shd w:val="clear" w:color="auto" w:fill="E1DFDD"/>
    </w:rPr>
  </w:style>
  <w:style w:type="character" w:customStyle="1" w:styleId="437">
    <w:name w:val="mark9ptmmceyu"/>
    <w:basedOn w:val="10"/>
  </w:style>
  <w:style w:type="paragraph" w:customStyle="1" w:styleId="438">
    <w:name w:val="修订3"/>
    <w:rPr>
      <w:rFonts w:ascii="Times New Roman" w:eastAsia="宋体" w:cs="Times New Roman" w:hAnsi="Times New Roman"/>
      <w:kern w:val="2"/>
      <w:sz w:val="21"/>
      <w:szCs w:val="24"/>
      <w:lang w:val="en-US" w:eastAsia="zh-CN" w:bidi="ar-SA"/>
    </w:rPr>
  </w:style>
  <w:style w:type="character" w:customStyle="1" w:styleId="439">
    <w:name w:val="未处理的提及102"/>
    <w:basedOn w:val="10"/>
    <w:rPr>
      <w:color w:val="605E5C"/>
      <w:shd w:val="clear" w:color="auto" w:fill="E1DFDD"/>
    </w:rPr>
  </w:style>
  <w:style w:type="paragraph" w:customStyle="1" w:styleId="440">
    <w:name w:val="p"/>
    <w:basedOn w:val="0"/>
    <w:pPr>
      <w:widowControl/>
      <w:spacing w:before="100" w:beforeAutospacing="1" w:after="100" w:afterAutospacing="1"/>
      <w:jc w:val="left"/>
    </w:pPr>
    <w:rPr>
      <w:rFonts w:ascii="宋体" w:cs="宋体" w:hAnsi="宋体"/>
      <w:kern w:val="0"/>
      <w:sz w:val="24"/>
    </w:rPr>
  </w:style>
  <w:style w:type="character" w:customStyle="1" w:styleId="441">
    <w:name w:val="未处理的提及103"/>
    <w:basedOn w:val="10"/>
    <w:rPr>
      <w:color w:val="605E5C"/>
      <w:shd w:val="clear" w:color="auto" w:fill="E1DFDD"/>
    </w:rPr>
  </w:style>
  <w:style w:type="paragraph" w:customStyle="1" w:styleId="442">
    <w:name w:val="paragraph_paragraph__nycys"/>
    <w:basedOn w:val="0"/>
    <w:pPr>
      <w:widowControl/>
      <w:spacing w:before="100" w:beforeAutospacing="1" w:after="100" w:afterAutospacing="1"/>
      <w:jc w:val="left"/>
    </w:pPr>
    <w:rPr>
      <w:rFonts w:ascii="宋体" w:cs="宋体" w:hAnsi="宋体"/>
      <w:kern w:val="0"/>
      <w:sz w:val="24"/>
    </w:rPr>
  </w:style>
  <w:style w:type="character" w:customStyle="1" w:styleId="443">
    <w:name w:val="ds_ext_text-tov6w"/>
    <w:basedOn w:val="10"/>
  </w:style>
  <w:style w:type="character" w:customStyle="1" w:styleId="444">
    <w:name w:val="未处理的提及104"/>
    <w:basedOn w:val="10"/>
    <w:rPr>
      <w:color w:val="605E5C"/>
      <w:shd w:val="clear" w:color="auto" w:fill="E1DFDD"/>
    </w:rPr>
  </w:style>
  <w:style w:type="character" w:customStyle="1" w:styleId="445">
    <w:name w:val="未处理的提及105"/>
    <w:basedOn w:val="10"/>
    <w:rPr>
      <w:color w:val="605E5C"/>
      <w:shd w:val="clear" w:color="auto" w:fill="E1DFDD"/>
    </w:rPr>
  </w:style>
  <w:style w:type="character" w:customStyle="1" w:styleId="446">
    <w:name w:val="未处理的提及106"/>
    <w:basedOn w:val="10"/>
    <w:rPr>
      <w:color w:val="605E5C"/>
      <w:shd w:val="clear" w:color="auto" w:fill="E1DFDD"/>
    </w:rPr>
  </w:style>
  <w:style w:type="character" w:customStyle="1" w:styleId="447">
    <w:name w:val="15"/>
    <w:basedOn w:val="10"/>
  </w:style>
  <w:style w:type="character" w:customStyle="1" w:styleId="448">
    <w:name w:val="17"/>
    <w:basedOn w:val="10"/>
  </w:style>
  <w:style w:type="character" w:customStyle="1" w:styleId="449">
    <w:name w:val="16"/>
    <w:basedOn w:val="10"/>
  </w:style>
  <w:style w:type="character" w:customStyle="1" w:styleId="450">
    <w:name w:val="ediassetstextcon"/>
    <w:basedOn w:val="10"/>
  </w:style>
  <w:style w:type="character" w:customStyle="1" w:styleId="451">
    <w:name w:val="未处理的提及107"/>
    <w:basedOn w:val="10"/>
    <w:rPr>
      <w:color w:val="605E5C"/>
      <w:shd w:val="clear" w:color="auto" w:fill="E1DFDD"/>
    </w:rPr>
  </w:style>
  <w:style w:type="character" w:customStyle="1" w:styleId="452">
    <w:name w:val="未处理的提及108"/>
    <w:basedOn w:val="10"/>
    <w:rPr>
      <w:color w:val="605E5C"/>
      <w:shd w:val="clear" w:color="auto" w:fill="E1DFDD"/>
    </w:rPr>
  </w:style>
  <w:style w:type="character" w:customStyle="1" w:styleId="453">
    <w:name w:val="未处理的提及109"/>
    <w:basedOn w:val="10"/>
    <w:rPr>
      <w:color w:val="605E5C"/>
      <w:shd w:val="clear" w:color="auto" w:fill="E1DFDD"/>
    </w:rPr>
  </w:style>
  <w:style w:type="character" w:customStyle="1" w:styleId="454">
    <w:name w:val="未处理的提及110"/>
    <w:basedOn w:val="10"/>
    <w:rPr>
      <w:color w:val="605E5C"/>
      <w:shd w:val="clear" w:color="auto" w:fill="E1DFDD"/>
    </w:rPr>
  </w:style>
  <w:style w:type="character" w:customStyle="1" w:styleId="455">
    <w:name w:val="c-color-gray2"/>
    <w:basedOn w:val="10"/>
  </w:style>
  <w:style w:type="character" w:customStyle="1" w:styleId="456">
    <w:name w:val="content-right_8zs40"/>
    <w:basedOn w:val="10"/>
  </w:style>
  <w:style w:type="character" w:customStyle="1" w:styleId="457">
    <w:name w:val="content-right8zs401"/>
    <w:basedOn w:val="10"/>
  </w:style>
  <w:style w:type="character" w:customStyle="1" w:styleId="458">
    <w:name w:val="未处理的提及111"/>
    <w:basedOn w:val="10"/>
    <w:rPr>
      <w:color w:val="605E5C"/>
      <w:shd w:val="clear" w:color="auto" w:fill="E1DFDD"/>
    </w:rPr>
  </w:style>
  <w:style w:type="paragraph" w:customStyle="1" w:styleId="459">
    <w:name w:val="_tgt"/>
    <w:basedOn w:val="0"/>
    <w:pPr>
      <w:widowControl/>
      <w:spacing w:before="100" w:beforeAutospacing="1" w:after="100" w:afterAutospacing="1"/>
      <w:jc w:val="left"/>
    </w:pPr>
    <w:rPr>
      <w:rFonts w:ascii="宋体" w:cs="宋体" w:hAnsi="宋体"/>
      <w:kern w:val="0"/>
      <w:sz w:val="24"/>
    </w:rPr>
  </w:style>
  <w:style w:type="character" w:customStyle="1" w:styleId="460">
    <w:name w:val="transsent"/>
    <w:basedOn w:val="10"/>
  </w:style>
  <w:style w:type="character" w:customStyle="1" w:styleId="461">
    <w:name w:val="未处理的提及112"/>
    <w:basedOn w:val="10"/>
    <w:rPr>
      <w:color w:val="605E5C"/>
      <w:shd w:val="clear" w:color="auto" w:fill="E1DFDD"/>
    </w:rPr>
  </w:style>
  <w:style w:type="character" w:customStyle="1" w:styleId="462">
    <w:name w:val="未处理的提及113"/>
    <w:basedOn w:val="10"/>
    <w:rPr>
      <w:color w:val="605E5C"/>
      <w:shd w:val="clear" w:color="auto" w:fill="E1DFDD"/>
    </w:rPr>
  </w:style>
  <w:style w:type="character" w:customStyle="1" w:styleId="463">
    <w:name w:val="spelle"/>
    <w:basedOn w:val="10"/>
  </w:style>
  <w:style w:type="character" w:customStyle="1" w:styleId="464">
    <w:name w:val="未处理的提及114"/>
    <w:basedOn w:val="10"/>
    <w:rPr>
      <w:color w:val="605E5C"/>
      <w:shd w:val="clear" w:color="auto" w:fill="E1DFDD"/>
    </w:rPr>
  </w:style>
  <w:style w:type="paragraph" w:customStyle="1" w:styleId="465">
    <w:name w:val="p1"/>
    <w:basedOn w:val="0"/>
    <w:pPr>
      <w:widowControl/>
      <w:spacing w:before="100" w:beforeAutospacing="1" w:after="100" w:afterAutospacing="1"/>
      <w:jc w:val="left"/>
    </w:pPr>
    <w:rPr>
      <w:rFonts w:ascii="宋体" w:cs="宋体" w:hAnsi="宋体"/>
      <w:kern w:val="0"/>
      <w:sz w:val="24"/>
    </w:rPr>
  </w:style>
  <w:style w:type="character" w:customStyle="1" w:styleId="466">
    <w:name w:val="s1"/>
    <w:basedOn w:val="10"/>
  </w:style>
  <w:style w:type="character" w:customStyle="1" w:styleId="467">
    <w:name w:val="s2"/>
    <w:basedOn w:val="10"/>
  </w:style>
  <w:style w:type="character" w:customStyle="1" w:styleId="468">
    <w:name w:val="tgt"/>
    <w:basedOn w:val="10"/>
  </w:style>
  <w:style w:type="character" w:customStyle="1" w:styleId="469">
    <w:name w:val="未处理的提及115"/>
    <w:basedOn w:val="10"/>
    <w:rPr>
      <w:color w:val="605E5C"/>
      <w:shd w:val="clear" w:color="auto" w:fill="E1DFDD"/>
    </w:rPr>
  </w:style>
  <w:style w:type="character" w:customStyle="1" w:styleId="470">
    <w:name w:val="未处理的提及116"/>
    <w:basedOn w:val="10"/>
    <w:rPr>
      <w:color w:val="605E5C"/>
      <w:shd w:val="clear" w:color="auto" w:fill="E1DFDD"/>
    </w:rPr>
  </w:style>
  <w:style w:type="character" w:customStyle="1" w:styleId="471">
    <w:name w:val="content-right_8zs401"/>
    <w:basedOn w:val="10"/>
  </w:style>
  <w:style w:type="character" w:customStyle="1" w:styleId="472">
    <w:name w:val="未处理的提及117"/>
    <w:basedOn w:val="10"/>
    <w:rPr>
      <w:color w:val="605E5C"/>
      <w:shd w:val="clear" w:color="auto" w:fill="E1DFDD"/>
    </w:rPr>
  </w:style>
  <w:style w:type="character" w:customStyle="1" w:styleId="473">
    <w:name w:val="proofreadsignclass-unused"/>
    <w:basedOn w:val="10"/>
  </w:style>
  <w:style w:type="character" w:customStyle="1" w:styleId="474">
    <w:name w:val="未处理的提及118"/>
    <w:basedOn w:val="10"/>
    <w:rPr>
      <w:color w:val="605E5C"/>
      <w:shd w:val="clear" w:color="auto" w:fill="E1DFDD"/>
    </w:rPr>
  </w:style>
  <w:style w:type="character" w:customStyle="1" w:styleId="475">
    <w:name w:val="未处理的提及119"/>
    <w:basedOn w:val="10"/>
    <w:rPr>
      <w:color w:val="605E5C"/>
      <w:shd w:val="clear" w:color="auto" w:fill="E1DFDD"/>
    </w:rPr>
  </w:style>
  <w:style w:type="character" w:customStyle="1" w:styleId="476">
    <w:name w:val="smallcaps"/>
    <w:basedOn w:val="10"/>
  </w:style>
  <w:style w:type="character" w:customStyle="1" w:styleId="477">
    <w:name w:val="未处理的提及120"/>
    <w:basedOn w:val="10"/>
    <w:rPr>
      <w:color w:val="605E5C"/>
      <w:shd w:val="clear" w:color="auto" w:fill="E1DFDD"/>
    </w:rPr>
  </w:style>
  <w:style w:type="character" w:customStyle="1" w:styleId="478">
    <w:name w:val="未处理的提及121"/>
    <w:basedOn w:val="10"/>
    <w:rPr>
      <w:color w:val="605E5C"/>
      <w:shd w:val="clear" w:color="auto" w:fill="E1DFDD"/>
    </w:rPr>
  </w:style>
  <w:style w:type="character" w:customStyle="1" w:styleId="479">
    <w:name w:val="未处理的提及122"/>
    <w:basedOn w:val="10"/>
    <w:rPr>
      <w:color w:val="605E5C"/>
      <w:shd w:val="clear" w:color="auto" w:fill="E1DFDD"/>
    </w:rPr>
  </w:style>
  <w:style w:type="character" w:customStyle="1" w:styleId="480">
    <w:name w:val="rynqvb"/>
    <w:basedOn w:val="10"/>
  </w:style>
  <w:style w:type="paragraph" w:customStyle="1" w:styleId="481">
    <w:name w:val="src"/>
    <w:basedOn w:val="0"/>
    <w:pPr>
      <w:widowControl/>
      <w:spacing w:before="100" w:beforeAutospacing="1" w:after="100" w:afterAutospacing="1"/>
      <w:jc w:val="left"/>
    </w:pPr>
    <w:rPr>
      <w:rFonts w:ascii="宋体" w:cs="宋体" w:hAnsi="宋体"/>
      <w:kern w:val="0"/>
      <w:sz w:val="24"/>
    </w:rPr>
  </w:style>
  <w:style w:type="paragraph" w:customStyle="1" w:styleId="482">
    <w:name w:val="0"/>
    <w:basedOn w:val="0"/>
    <w:pPr>
      <w:widowControl/>
      <w:spacing w:before="100" w:beforeAutospacing="1" w:after="100" w:afterAutospacing="1"/>
      <w:jc w:val="left"/>
    </w:pPr>
    <w:rPr>
      <w:rFonts w:ascii="宋体" w:cs="宋体" w:hAnsi="宋体"/>
      <w:kern w:val="0"/>
      <w:sz w:val="24"/>
    </w:rPr>
  </w:style>
  <w:style w:type="character" w:customStyle="1" w:styleId="483">
    <w:name w:val="未处理的提及123"/>
    <w:basedOn w:val="10"/>
    <w:rPr>
      <w:color w:val="605E5C"/>
      <w:shd w:val="clear" w:color="auto" w:fill="E1DFDD"/>
    </w:rPr>
  </w:style>
  <w:style w:type="paragraph" w:customStyle="1" w:styleId="484">
    <w:name w:val="rtejustify"/>
    <w:basedOn w:val="0"/>
    <w:pPr>
      <w:widowControl/>
      <w:spacing w:before="100" w:beforeAutospacing="1" w:after="100" w:afterAutospacing="1"/>
      <w:jc w:val="left"/>
    </w:pPr>
    <w:rPr>
      <w:rFonts w:ascii="宋体" w:cs="宋体" w:hAnsi="宋体"/>
      <w:kern w:val="0"/>
      <w:sz w:val="24"/>
    </w:rPr>
  </w:style>
  <w:style w:type="character" w:customStyle="1" w:styleId="485">
    <w:name w:val="im-content1"/>
    <w:basedOn w:val="10"/>
    <w:rPr>
      <w:vanish w:val="0"/>
      <w:color w:val="000000"/>
    </w:rPr>
  </w:style>
  <w:style w:type="paragraph" w:customStyle="1" w:styleId="486">
    <w:name w:val="pre"/>
    <w:basedOn w:val="0"/>
    <w:pPr>
      <w:widowControl/>
      <w:spacing w:before="100" w:beforeAutospacing="1" w:after="100" w:afterAutospacing="1"/>
      <w:jc w:val="left"/>
    </w:pPr>
    <w:rPr>
      <w:rFonts w:ascii="宋体" w:cs="宋体" w:hAnsi="宋体"/>
      <w:kern w:val="0"/>
      <w:sz w:val="24"/>
    </w:rPr>
  </w:style>
  <w:style w:type="character" w:customStyle="1" w:styleId="487">
    <w:name w:val="未处理的提及124"/>
    <w:basedOn w:val="10"/>
    <w:rPr>
      <w:color w:val="605E5C"/>
      <w:shd w:val="clear" w:color="auto" w:fill="E1DFDD"/>
    </w:rPr>
  </w:style>
  <w:style w:type="character" w:customStyle="1" w:styleId="488">
    <w:name w:val="未处理的提及125"/>
    <w:basedOn w:val="10"/>
    <w:rPr>
      <w:color w:val="605E5C"/>
      <w:shd w:val="clear" w:color="auto" w:fill="E1DFDD"/>
    </w:rPr>
  </w:style>
  <w:style w:type="character" w:customStyle="1" w:styleId="489">
    <w:name w:val="未处理的提及126"/>
    <w:basedOn w:val="10"/>
    <w:rPr>
      <w:color w:val="605E5C"/>
      <w:shd w:val="clear" w:color="auto" w:fill="E1DFDD"/>
    </w:rPr>
  </w:style>
  <w:style w:type="character" w:customStyle="1" w:styleId="490">
    <w:name w:val="未处理的提及127"/>
    <w:basedOn w:val="10"/>
    <w:rPr>
      <w:color w:val="605E5C"/>
      <w:shd w:val="clear" w:color="auto" w:fill="E1DFDD"/>
    </w:rPr>
  </w:style>
  <w:style w:type="character" w:customStyle="1" w:styleId="491">
    <w:name w:val="font71"/>
    <w:basedOn w:val="10"/>
  </w:style>
  <w:style w:type="character" w:customStyle="1" w:styleId="492">
    <w:name w:val="font21"/>
    <w:basedOn w:val="10"/>
  </w:style>
  <w:style w:type="character" w:customStyle="1" w:styleId="493">
    <w:name w:val="未处理的提及128"/>
    <w:basedOn w:val="10"/>
    <w:rPr>
      <w:color w:val="605E5C"/>
      <w:shd w:val="clear" w:color="auto" w:fill="E1DFDD"/>
    </w:rPr>
  </w:style>
  <w:style w:type="character" w:customStyle="1" w:styleId="494">
    <w:name w:val="未处理的提及129"/>
    <w:basedOn w:val="10"/>
    <w:rPr>
      <w:color w:val="605E5C"/>
      <w:shd w:val="clear" w:color="auto" w:fill="E1DFDD"/>
    </w:rPr>
  </w:style>
  <w:style w:type="character" w:customStyle="1" w:styleId="495">
    <w:name w:val="mat-tooltip-trigger"/>
    <w:basedOn w:val="10"/>
  </w:style>
  <w:style w:type="character" w:customStyle="1" w:styleId="496">
    <w:name w:val="未处理的提及130"/>
    <w:basedOn w:val="10"/>
    <w:rPr>
      <w:color w:val="605E5C"/>
      <w:shd w:val="clear" w:color="auto" w:fill="E1DFDD"/>
    </w:rPr>
  </w:style>
  <w:style w:type="character" w:customStyle="1" w:styleId="497">
    <w:name w:val="未处理的提及131"/>
    <w:basedOn w:val="10"/>
    <w:rPr>
      <w:color w:val="605E5C"/>
      <w:shd w:val="clear" w:color="auto" w:fill="E1DFDD"/>
    </w:rPr>
  </w:style>
  <w:style w:type="character" w:customStyle="1" w:styleId="498">
    <w:name w:val="未处理的提及132"/>
    <w:basedOn w:val="10"/>
    <w:rPr>
      <w:color w:val="605E5C"/>
      <w:shd w:val="clear" w:color="auto" w:fill="E1DFDD"/>
    </w:rPr>
  </w:style>
  <w:style w:type="character" w:customStyle="1" w:styleId="499">
    <w:name w:val="未处理的提及133"/>
    <w:basedOn w:val="10"/>
    <w:rPr>
      <w:color w:val="605E5C"/>
      <w:shd w:val="clear" w:color="auto" w:fill="E1DFDD"/>
    </w:rPr>
  </w:style>
  <w:style w:type="character" w:customStyle="1" w:styleId="500">
    <w:name w:val="未处理的提及134"/>
    <w:basedOn w:val="10"/>
    <w:rPr>
      <w:color w:val="605E5C"/>
      <w:shd w:val="clear" w:color="auto" w:fill="E1DFDD"/>
    </w:rPr>
  </w:style>
  <w:style w:type="character" w:customStyle="1" w:styleId="501">
    <w:name w:val="未处理的提及135"/>
    <w:basedOn w:val="10"/>
    <w:rPr>
      <w:color w:val="605E5C"/>
      <w:shd w:val="clear" w:color="auto" w:fill="E1DFDD"/>
    </w:rPr>
  </w:style>
  <w:style w:type="character" w:customStyle="1" w:styleId="502">
    <w:name w:val="未处理的提及136"/>
    <w:basedOn w:val="10"/>
    <w:rPr>
      <w:color w:val="605E5C"/>
      <w:shd w:val="clear" w:color="auto" w:fill="E1DFDD"/>
    </w:rPr>
  </w:style>
  <w:style w:type="character" w:customStyle="1" w:styleId="503">
    <w:name w:val="未处理的提及137"/>
    <w:basedOn w:val="10"/>
    <w:rPr>
      <w:color w:val="605E5C"/>
      <w:shd w:val="clear" w:color="auto" w:fill="E1DFDD"/>
    </w:rPr>
  </w:style>
  <w:style w:type="character" w:customStyle="1" w:styleId="504">
    <w:name w:val="未处理的提及138"/>
    <w:basedOn w:val="10"/>
    <w:rPr>
      <w:color w:val="605E5C"/>
      <w:shd w:val="clear" w:color="auto" w:fill="E1DFDD"/>
    </w:rPr>
  </w:style>
  <w:style w:type="character" w:customStyle="1" w:styleId="505">
    <w:name w:val="未处理的提及139"/>
    <w:basedOn w:val="10"/>
    <w:rPr>
      <w:color w:val="605E5C"/>
      <w:shd w:val="clear" w:color="auto" w:fill="E1DFDD"/>
    </w:rPr>
  </w:style>
  <w:style w:type="character" w:customStyle="1" w:styleId="506">
    <w:name w:val="未处理的提及140"/>
    <w:basedOn w:val="10"/>
    <w:rPr>
      <w:color w:val="605E5C"/>
      <w:shd w:val="clear" w:color="auto" w:fill="E1DFDD"/>
    </w:rPr>
  </w:style>
  <w:style w:type="character" w:customStyle="1" w:styleId="507">
    <w:name w:val="未处理的提及141"/>
    <w:basedOn w:val="10"/>
    <w:rPr>
      <w:color w:val="605E5C"/>
      <w:shd w:val="clear" w:color="auto" w:fill="E1DFDD"/>
    </w:rPr>
  </w:style>
  <w:style w:type="character" w:customStyle="1" w:styleId="508">
    <w:name w:val="未处理的提及142"/>
    <w:basedOn w:val="10"/>
    <w:rPr>
      <w:color w:val="605E5C"/>
      <w:shd w:val="clear" w:color="auto" w:fill="E1DFDD"/>
    </w:rPr>
  </w:style>
  <w:style w:type="character" w:customStyle="1" w:styleId="509">
    <w:name w:val="未处理的提及143"/>
    <w:basedOn w:val="10"/>
    <w:rPr>
      <w:color w:val="605E5C"/>
      <w:shd w:val="clear" w:color="auto" w:fill="E1DFDD"/>
    </w:rPr>
  </w:style>
  <w:style w:type="paragraph" w:customStyle="1" w:styleId="510">
    <w:name w:val="custom_unionstyle"/>
    <w:basedOn w:val="0"/>
    <w:pPr>
      <w:widowControl/>
      <w:spacing w:before="100" w:beforeAutospacing="1" w:after="100" w:afterAutospacing="1"/>
      <w:jc w:val="left"/>
    </w:pPr>
    <w:rPr>
      <w:rFonts w:ascii="宋体" w:cs="宋体" w:hAnsi="宋体"/>
      <w:kern w:val="0"/>
      <w:sz w:val="24"/>
    </w:rPr>
  </w:style>
  <w:style w:type="character" w:customStyle="1" w:styleId="511">
    <w:name w:val="未处理的提及144"/>
    <w:basedOn w:val="10"/>
    <w:rPr>
      <w:color w:val="605E5C"/>
      <w:shd w:val="clear" w:color="auto" w:fill="E1DFDD"/>
    </w:rPr>
  </w:style>
  <w:style w:type="character" w:customStyle="1" w:styleId="512">
    <w:name w:val="未处理的提及145"/>
    <w:basedOn w:val="10"/>
    <w:rPr>
      <w:color w:val="605E5C"/>
      <w:shd w:val="clear" w:color="auto" w:fill="E1DFDD"/>
    </w:rPr>
  </w:style>
  <w:style w:type="character" w:customStyle="1" w:styleId="513">
    <w:name w:val="未处理的提及146"/>
    <w:basedOn w:val="10"/>
    <w:rPr>
      <w:color w:val="605E5C"/>
      <w:shd w:val="clear" w:color="auto" w:fill="E1DFDD"/>
    </w:rPr>
  </w:style>
  <w:style w:type="character" w:customStyle="1" w:styleId="514">
    <w:name w:val="未处理的提及147"/>
    <w:basedOn w:val="10"/>
    <w:rPr>
      <w:color w:val="605E5C"/>
      <w:shd w:val="clear" w:color="auto" w:fill="E1DFDD"/>
    </w:rPr>
  </w:style>
  <w:style w:type="character" w:customStyle="1" w:styleId="515">
    <w:name w:val="未处理的提及148"/>
    <w:basedOn w:val="10"/>
    <w:rPr>
      <w:color w:val="605E5C"/>
      <w:shd w:val="clear" w:color="auto" w:fill="E1DFDD"/>
    </w:rPr>
  </w:style>
  <w:style w:type="character" w:customStyle="1" w:styleId="516">
    <w:name w:val="未处理的提及149"/>
    <w:basedOn w:val="10"/>
    <w:rPr>
      <w:color w:val="605E5C"/>
      <w:shd w:val="clear" w:color="auto" w:fill="E1DFDD"/>
    </w:rPr>
  </w:style>
  <w:style w:type="character" w:customStyle="1" w:styleId="517">
    <w:name w:val="未处理的提及150"/>
    <w:basedOn w:val="10"/>
    <w:rPr>
      <w:color w:val="605E5C"/>
      <w:shd w:val="clear" w:color="auto" w:fill="E1DFDD"/>
    </w:rPr>
  </w:style>
  <w:style w:type="character" w:customStyle="1" w:styleId="518">
    <w:name w:val="未处理的提及151"/>
    <w:basedOn w:val="10"/>
    <w:rPr>
      <w:color w:val="605E5C"/>
      <w:shd w:val="clear" w:color="auto" w:fill="E1DFDD"/>
    </w:rPr>
  </w:style>
  <w:style w:type="character" w:customStyle="1" w:styleId="519">
    <w:name w:val="未处理的提及152"/>
    <w:basedOn w:val="10"/>
    <w:rPr>
      <w:color w:val="605E5C"/>
      <w:shd w:val="clear" w:color="auto" w:fill="E1DFDD"/>
    </w:rPr>
  </w:style>
  <w:style w:type="character" w:customStyle="1" w:styleId="520">
    <w:name w:val="text-tag"/>
    <w:basedOn w:val="10"/>
  </w:style>
  <w:style w:type="character" w:customStyle="1" w:styleId="521">
    <w:name w:val="未处理的提及153"/>
    <w:basedOn w:val="10"/>
    <w:rPr>
      <w:color w:val="605E5C"/>
      <w:shd w:val="clear" w:color="auto" w:fill="E1DFDD"/>
    </w:rPr>
  </w:style>
  <w:style w:type="character" w:customStyle="1" w:styleId="522">
    <w:name w:val="未处理的提及154"/>
    <w:basedOn w:val="10"/>
    <w:rPr>
      <w:color w:val="605E5C"/>
      <w:shd w:val="clear" w:color="auto" w:fill="E1DFDD"/>
    </w:rPr>
  </w:style>
  <w:style w:type="paragraph" w:customStyle="1" w:styleId="523">
    <w:name w:val="style382"/>
    <w:basedOn w:val="0"/>
    <w:pPr>
      <w:widowControl/>
      <w:spacing w:before="100" w:beforeAutospacing="1" w:after="100" w:afterAutospacing="1"/>
      <w:jc w:val="left"/>
    </w:pPr>
    <w:rPr>
      <w:rFonts w:ascii="宋体" w:cs="宋体" w:hAnsi="宋体"/>
      <w:kern w:val="0"/>
      <w:sz w:val="24"/>
    </w:rPr>
  </w:style>
  <w:style w:type="character" w:customStyle="1" w:styleId="524">
    <w:name w:val="eop"/>
    <w:basedOn w:val="10"/>
  </w:style>
  <w:style w:type="paragraph" w:customStyle="1" w:styleId="525">
    <w:name w:val="style152"/>
    <w:basedOn w:val="0"/>
    <w:pPr>
      <w:widowControl/>
      <w:spacing w:before="100" w:beforeAutospacing="1" w:after="100" w:afterAutospacing="1"/>
      <w:jc w:val="left"/>
    </w:pPr>
    <w:rPr>
      <w:rFonts w:ascii="宋体" w:cs="宋体" w:hAnsi="宋体"/>
      <w:kern w:val="0"/>
      <w:sz w:val="24"/>
    </w:rPr>
  </w:style>
  <w:style w:type="character" w:customStyle="1" w:styleId="526">
    <w:name w:val="cos-color-text-em"/>
    <w:basedOn w:val="10"/>
  </w:style>
  <w:style w:type="paragraph" w:customStyle="1" w:styleId="527">
    <w:name w:val="style232"/>
    <w:basedOn w:val="0"/>
    <w:pPr>
      <w:widowControl/>
      <w:spacing w:before="100" w:beforeAutospacing="1" w:after="100" w:afterAutospacing="1"/>
      <w:jc w:val="left"/>
    </w:pPr>
    <w:rPr>
      <w:rFonts w:ascii="宋体" w:cs="宋体" w:hAnsi="宋体"/>
      <w:kern w:val="0"/>
      <w:sz w:val="24"/>
    </w:rPr>
  </w:style>
  <w:style w:type="paragraph" w:customStyle="1" w:styleId="528">
    <w:name w:val="nb"/>
    <w:basedOn w:val="0"/>
    <w:pPr>
      <w:widowControl/>
      <w:spacing w:before="100" w:beforeAutospacing="1" w:after="100" w:afterAutospacing="1"/>
      <w:jc w:val="left"/>
    </w:pPr>
    <w:rPr>
      <w:rFonts w:ascii="宋体" w:cs="宋体" w:hAnsi="宋体"/>
      <w:kern w:val="0"/>
      <w:sz w:val="24"/>
    </w:rPr>
  </w:style>
  <w:style w:type="character" w:customStyle="1" w:styleId="529">
    <w:name w:val="18"/>
    <w:basedOn w:val="10"/>
  </w:style>
  <w:style w:type="character" w:customStyle="1" w:styleId="530">
    <w:name w:val="19"/>
    <w:basedOn w:val="10"/>
  </w:style>
  <w:style w:type="character" w:customStyle="1" w:styleId="531">
    <w:name w:val="20"/>
    <w:basedOn w:val="10"/>
  </w:style>
  <w:style w:type="paragraph" w:customStyle="1" w:styleId="532">
    <w:name w:val="style497"/>
    <w:basedOn w:val="0"/>
    <w:pPr>
      <w:widowControl/>
      <w:spacing w:before="100" w:beforeAutospacing="1" w:after="100" w:afterAutospacing="1"/>
      <w:jc w:val="left"/>
    </w:pPr>
    <w:rPr>
      <w:rFonts w:ascii="宋体" w:cs="宋体" w:hAnsi="宋体"/>
      <w:kern w:val="0"/>
      <w:sz w:val="24"/>
    </w:rPr>
  </w:style>
  <w:style w:type="paragraph" w:customStyle="1" w:styleId="533">
    <w:name w:val="xl6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4">
    <w:name w:val="xl6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5">
    <w:name w:val="xl6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cs="Arial" w:hAnsi="Arial"/>
      <w:kern w:val="0"/>
      <w:sz w:val="18"/>
      <w:szCs w:val="18"/>
    </w:rPr>
  </w:style>
  <w:style w:type="paragraph" w:customStyle="1" w:styleId="536">
    <w:name w:val="xl6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7">
    <w:name w:val="xl6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8">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kern w:val="0"/>
      <w:sz w:val="18"/>
      <w:szCs w:val="18"/>
    </w:rPr>
  </w:style>
  <w:style w:type="paragraph" w:customStyle="1" w:styleId="539">
    <w:name w:val="样式 二号"/>
    <w:basedOn w:val="0"/>
    <w:pPr>
      <w:keepNext/>
      <w:keepLines/>
      <w:widowControl w:val="0"/>
      <w:spacing w:before="340" w:after="330" w:line="578" w:lineRule="auto"/>
      <w:outlineLvl w:val="0"/>
    </w:pPr>
    <w:rPr>
      <w:b/>
      <w:bCs/>
      <w:kern w:val="44"/>
      <w:sz w:val="44"/>
      <w:szCs w:val="44"/>
    </w:rPr>
  </w:style>
  <w:style w:type="paragraph" w:customStyle="1" w:styleId="540">
    <w:name w:val="Revision"/>
    <w:rPr>
      <w:rFonts w:ascii="Times New Roman" w:eastAsia="宋体" w:cs="Times New Roman" w:hAnsi="Times New Roman"/>
      <w:kern w:val="2"/>
      <w:sz w:val="21"/>
      <w:szCs w:val="24"/>
      <w:lang w:val="en-US" w:eastAsia="zh-CN" w:bidi="ar-SA"/>
    </w:rPr>
  </w:style>
  <w:style w:type="character" w:customStyle="1" w:styleId="541">
    <w:name w:val="未处理的提及155"/>
    <w:basedOn w:val="10"/>
    <w:rPr>
      <w:color w:val="605E5C"/>
      <w:shd w:val="clear" w:color="auto" w:fill="E1DFDD"/>
    </w:rPr>
  </w:style>
  <w:style w:type="paragraph" w:customStyle="1" w:styleId="542">
    <w:name w:val="style239"/>
    <w:basedOn w:val="0"/>
    <w:pPr>
      <w:widowControl/>
      <w:spacing w:before="100" w:beforeAutospacing="1" w:after="100" w:afterAutospacing="1"/>
      <w:jc w:val="left"/>
    </w:pPr>
    <w:rPr>
      <w:rFonts w:ascii="宋体" w:cs="宋体" w:hAnsi="宋体"/>
      <w:kern w:val="0"/>
      <w:sz w:val="24"/>
    </w:rPr>
  </w:style>
  <w:style w:type="character" w:customStyle="1" w:styleId="543">
    <w:name w:val="bjh-strong"/>
    <w:basedOn w:val="10"/>
  </w:style>
  <w:style w:type="character" w:customStyle="1" w:styleId="544">
    <w:name w:val="未处理的提及156"/>
    <w:basedOn w:val="10"/>
    <w:rPr>
      <w:color w:val="605E5C"/>
      <w:shd w:val="clear" w:color="auto" w:fill="E1DFDD"/>
    </w:rPr>
  </w:style>
  <w:style w:type="paragraph" w:customStyle="1" w:styleId="545">
    <w:name w:val="style514"/>
    <w:basedOn w:val="0"/>
    <w:pPr>
      <w:widowControl/>
      <w:spacing w:before="100" w:beforeAutospacing="1" w:after="100" w:afterAutospacing="1"/>
      <w:jc w:val="left"/>
    </w:pPr>
    <w:rPr>
      <w:rFonts w:ascii="宋体" w:cs="宋体" w:hAnsi="宋体"/>
      <w:kern w:val="0"/>
      <w:sz w:val="24"/>
    </w:rPr>
  </w:style>
  <w:style w:type="character" w:customStyle="1" w:styleId="546">
    <w:name w:val="未处理的提及157"/>
    <w:basedOn w:val="10"/>
    <w:rPr>
      <w:color w:val="605E5C"/>
      <w:shd w:val="clear" w:color="auto" w:fill="E1DFDD"/>
    </w:rPr>
  </w:style>
  <w:style w:type="character" w:customStyle="1" w:styleId="547">
    <w:name w:val="未处理的提及158"/>
    <w:basedOn w:val="10"/>
    <w:rPr>
      <w:color w:val="605E5C"/>
      <w:shd w:val="clear" w:color="auto" w:fill="E1DFDD"/>
    </w:rPr>
  </w:style>
  <w:style w:type="character" w:customStyle="1" w:styleId="548">
    <w:name w:val="未处理的提及159"/>
    <w:basedOn w:val="10"/>
    <w:rPr>
      <w:color w:val="605E5C"/>
      <w:shd w:val="clear" w:color="auto" w:fill="E1DFDD"/>
    </w:rPr>
  </w:style>
  <w:style w:type="character" w:customStyle="1" w:styleId="549">
    <w:name w:val="未处理的提及160"/>
    <w:basedOn w:val="10"/>
    <w:rPr>
      <w:color w:val="605E5C"/>
      <w:shd w:val="clear" w:color="auto" w:fill="E1DFDD"/>
    </w:rPr>
  </w:style>
  <w:style w:type="character" w:customStyle="1" w:styleId="550">
    <w:name w:val="未处理的提及161"/>
    <w:basedOn w:val="10"/>
    <w:rPr>
      <w:color w:val="605E5C"/>
      <w:shd w:val="clear" w:color="auto" w:fill="E1DFDD"/>
    </w:rPr>
  </w:style>
  <w:style w:type="paragraph" w:customStyle="1" w:styleId="551">
    <w:name w:val="style528"/>
    <w:basedOn w:val="0"/>
    <w:pPr>
      <w:widowControl/>
      <w:spacing w:before="100" w:beforeAutospacing="1" w:after="100" w:afterAutospacing="1"/>
      <w:jc w:val="left"/>
    </w:pPr>
    <w:rPr>
      <w:rFonts w:ascii="宋体" w:cs="宋体" w:hAnsi="宋体"/>
      <w:kern w:val="0"/>
      <w:sz w:val="24"/>
    </w:rPr>
  </w:style>
  <w:style w:type="paragraph" w:customStyle="1" w:styleId="552">
    <w:name w:val="style360"/>
    <w:basedOn w:val="0"/>
    <w:pPr>
      <w:widowControl/>
      <w:spacing w:before="100" w:beforeAutospacing="1" w:after="100" w:afterAutospacing="1"/>
      <w:jc w:val="left"/>
    </w:pPr>
    <w:rPr>
      <w:rFonts w:ascii="宋体" w:cs="宋体" w:hAnsi="宋体"/>
      <w:kern w:val="0"/>
      <w:sz w:val="24"/>
    </w:rPr>
  </w:style>
  <w:style w:type="paragraph" w:customStyle="1" w:styleId="553">
    <w:name w:val="style359"/>
    <w:basedOn w:val="0"/>
    <w:pPr>
      <w:widowControl/>
      <w:spacing w:before="100" w:beforeAutospacing="1" w:after="100" w:afterAutospacing="1"/>
      <w:jc w:val="left"/>
    </w:pPr>
    <w:rPr>
      <w:rFonts w:ascii="宋体" w:cs="宋体" w:hAnsi="宋体"/>
      <w:kern w:val="0"/>
      <w:sz w:val="24"/>
    </w:rPr>
  </w:style>
  <w:style w:type="paragraph" w:customStyle="1" w:styleId="554">
    <w:name w:val="style355"/>
    <w:basedOn w:val="0"/>
    <w:pPr>
      <w:widowControl/>
      <w:spacing w:before="100" w:beforeAutospacing="1" w:after="100" w:afterAutospacing="1"/>
      <w:jc w:val="left"/>
    </w:pPr>
    <w:rPr>
      <w:rFonts w:ascii="宋体" w:cs="宋体" w:hAnsi="宋体"/>
      <w:kern w:val="0"/>
      <w:sz w:val="24"/>
    </w:rPr>
  </w:style>
  <w:style w:type="paragraph" w:customStyle="1" w:styleId="555">
    <w:name w:val="style354"/>
    <w:basedOn w:val="0"/>
    <w:pPr>
      <w:widowControl/>
      <w:spacing w:before="100" w:beforeAutospacing="1" w:after="100" w:afterAutospacing="1"/>
      <w:jc w:val="left"/>
    </w:pPr>
    <w:rPr>
      <w:rFonts w:ascii="宋体" w:cs="宋体" w:hAnsi="宋体"/>
      <w:kern w:val="0"/>
      <w:sz w:val="24"/>
    </w:rPr>
  </w:style>
  <w:style w:type="paragraph" w:customStyle="1" w:styleId="556">
    <w:name w:val="style350"/>
    <w:basedOn w:val="0"/>
    <w:pPr>
      <w:widowControl/>
      <w:spacing w:before="100" w:beforeAutospacing="1" w:after="100" w:afterAutospacing="1"/>
      <w:jc w:val="left"/>
    </w:pPr>
    <w:rPr>
      <w:rFonts w:ascii="宋体" w:cs="宋体" w:hAnsi="宋体"/>
      <w:kern w:val="0"/>
      <w:sz w:val="24"/>
    </w:rPr>
  </w:style>
  <w:style w:type="paragraph" w:customStyle="1" w:styleId="557">
    <w:name w:val="style349"/>
    <w:basedOn w:val="0"/>
    <w:pPr>
      <w:widowControl/>
      <w:spacing w:before="100" w:beforeAutospacing="1" w:after="100" w:afterAutospacing="1"/>
      <w:jc w:val="left"/>
    </w:pPr>
    <w:rPr>
      <w:rFonts w:ascii="宋体" w:cs="宋体" w:hAnsi="宋体"/>
      <w:kern w:val="0"/>
      <w:sz w:val="24"/>
    </w:rPr>
  </w:style>
  <w:style w:type="paragraph" w:customStyle="1" w:styleId="558">
    <w:name w:val="style345"/>
    <w:basedOn w:val="0"/>
    <w:pPr>
      <w:widowControl/>
      <w:spacing w:before="100" w:beforeAutospacing="1" w:after="100" w:afterAutospacing="1"/>
      <w:jc w:val="left"/>
    </w:pPr>
    <w:rPr>
      <w:rFonts w:ascii="宋体" w:cs="宋体" w:hAnsi="宋体"/>
      <w:kern w:val="0"/>
      <w:sz w:val="24"/>
    </w:rPr>
  </w:style>
  <w:style w:type="paragraph" w:customStyle="1" w:styleId="559">
    <w:name w:val="style344"/>
    <w:basedOn w:val="0"/>
    <w:pPr>
      <w:widowControl/>
      <w:spacing w:before="100" w:beforeAutospacing="1" w:after="100" w:afterAutospacing="1"/>
      <w:jc w:val="left"/>
    </w:pPr>
    <w:rPr>
      <w:rFonts w:ascii="宋体" w:cs="宋体" w:hAnsi="宋体"/>
      <w:kern w:val="0"/>
      <w:sz w:val="24"/>
    </w:rPr>
  </w:style>
  <w:style w:type="paragraph" w:customStyle="1" w:styleId="560">
    <w:name w:val="style335"/>
    <w:basedOn w:val="0"/>
    <w:pPr>
      <w:widowControl/>
      <w:spacing w:before="100" w:beforeAutospacing="1" w:after="100" w:afterAutospacing="1"/>
      <w:jc w:val="left"/>
    </w:pPr>
    <w:rPr>
      <w:rFonts w:ascii="宋体" w:cs="宋体" w:hAnsi="宋体"/>
      <w:kern w:val="0"/>
      <w:sz w:val="24"/>
    </w:rPr>
  </w:style>
  <w:style w:type="paragraph" w:customStyle="1" w:styleId="561">
    <w:name w:val="style334"/>
    <w:basedOn w:val="0"/>
    <w:pPr>
      <w:widowControl/>
      <w:spacing w:before="100" w:beforeAutospacing="1" w:after="100" w:afterAutospacing="1"/>
      <w:jc w:val="left"/>
    </w:pPr>
    <w:rPr>
      <w:rFonts w:ascii="宋体" w:cs="宋体" w:hAnsi="宋体"/>
      <w:kern w:val="0"/>
      <w:sz w:val="24"/>
    </w:rPr>
  </w:style>
  <w:style w:type="paragraph" w:customStyle="1" w:styleId="562">
    <w:name w:val="style330"/>
    <w:basedOn w:val="0"/>
    <w:pPr>
      <w:widowControl/>
      <w:spacing w:before="100" w:beforeAutospacing="1" w:after="100" w:afterAutospacing="1"/>
      <w:jc w:val="left"/>
    </w:pPr>
    <w:rPr>
      <w:rFonts w:ascii="宋体" w:cs="宋体" w:hAnsi="宋体"/>
      <w:kern w:val="0"/>
      <w:sz w:val="24"/>
    </w:rPr>
  </w:style>
  <w:style w:type="paragraph" w:customStyle="1" w:styleId="563">
    <w:name w:val="style329"/>
    <w:basedOn w:val="0"/>
    <w:pPr>
      <w:widowControl/>
      <w:spacing w:before="100" w:beforeAutospacing="1" w:after="100" w:afterAutospacing="1"/>
      <w:jc w:val="left"/>
    </w:pPr>
    <w:rPr>
      <w:rFonts w:ascii="宋体" w:cs="宋体" w:hAnsi="宋体"/>
      <w:kern w:val="0"/>
      <w:sz w:val="24"/>
    </w:rPr>
  </w:style>
  <w:style w:type="paragraph" w:customStyle="1" w:styleId="564">
    <w:name w:val="style325"/>
    <w:basedOn w:val="0"/>
    <w:pPr>
      <w:widowControl/>
      <w:spacing w:before="100" w:beforeAutospacing="1" w:after="100" w:afterAutospacing="1"/>
      <w:jc w:val="left"/>
    </w:pPr>
    <w:rPr>
      <w:rFonts w:ascii="宋体" w:cs="宋体" w:hAnsi="宋体"/>
      <w:kern w:val="0"/>
      <w:sz w:val="24"/>
    </w:rPr>
  </w:style>
  <w:style w:type="paragraph" w:customStyle="1" w:styleId="565">
    <w:name w:val="style324"/>
    <w:basedOn w:val="0"/>
    <w:pPr>
      <w:widowControl/>
      <w:spacing w:before="100" w:beforeAutospacing="1" w:after="100" w:afterAutospacing="1"/>
      <w:jc w:val="left"/>
    </w:pPr>
    <w:rPr>
      <w:rFonts w:ascii="宋体" w:cs="宋体" w:hAnsi="宋体"/>
      <w:kern w:val="0"/>
      <w:sz w:val="24"/>
    </w:rPr>
  </w:style>
  <w:style w:type="character" w:customStyle="1" w:styleId="566">
    <w:name w:val="645char"/>
    <w:basedOn w:val="10"/>
  </w:style>
  <w:style w:type="paragraph" w:customStyle="1" w:styleId="567">
    <w:name w:val="style405"/>
    <w:basedOn w:val="0"/>
    <w:pPr>
      <w:widowControl/>
      <w:spacing w:before="100" w:beforeAutospacing="1" w:after="100" w:afterAutospacing="1"/>
      <w:jc w:val="left"/>
    </w:pPr>
    <w:rPr>
      <w:rFonts w:ascii="宋体" w:cs="宋体" w:hAnsi="宋体"/>
      <w:kern w:val="0"/>
      <w:sz w:val="24"/>
    </w:rPr>
  </w:style>
  <w:style w:type="paragraph" w:customStyle="1" w:styleId="568">
    <w:name w:val="style404"/>
    <w:basedOn w:val="0"/>
    <w:pPr>
      <w:widowControl/>
      <w:spacing w:before="100" w:beforeAutospacing="1" w:after="100" w:afterAutospacing="1"/>
      <w:jc w:val="left"/>
    </w:pPr>
    <w:rPr>
      <w:rFonts w:ascii="宋体" w:cs="宋体" w:hAnsi="宋体"/>
      <w:kern w:val="0"/>
      <w:sz w:val="24"/>
    </w:rPr>
  </w:style>
  <w:style w:type="character" w:customStyle="1" w:styleId="569">
    <w:name w:val="642char"/>
    <w:basedOn w:val="10"/>
  </w:style>
  <w:style w:type="paragraph" w:customStyle="1" w:styleId="570">
    <w:name w:val="style403"/>
    <w:basedOn w:val="0"/>
    <w:pPr>
      <w:widowControl/>
      <w:spacing w:before="100" w:beforeAutospacing="1" w:after="100" w:afterAutospacing="1"/>
      <w:jc w:val="left"/>
    </w:pPr>
    <w:rPr>
      <w:rFonts w:ascii="宋体" w:cs="宋体" w:hAnsi="宋体"/>
      <w:kern w:val="0"/>
      <w:sz w:val="24"/>
    </w:rPr>
  </w:style>
  <w:style w:type="paragraph" w:customStyle="1" w:styleId="571">
    <w:name w:val="style402"/>
    <w:basedOn w:val="0"/>
    <w:pPr>
      <w:widowControl/>
      <w:spacing w:before="100" w:beforeAutospacing="1" w:after="100" w:afterAutospacing="1"/>
      <w:jc w:val="left"/>
    </w:pPr>
    <w:rPr>
      <w:rFonts w:ascii="宋体" w:cs="宋体" w:hAnsi="宋体"/>
      <w:kern w:val="0"/>
      <w:sz w:val="24"/>
    </w:rPr>
  </w:style>
  <w:style w:type="paragraph" w:customStyle="1" w:styleId="572">
    <w:name w:val="style401"/>
    <w:basedOn w:val="0"/>
    <w:pPr>
      <w:widowControl/>
      <w:spacing w:before="100" w:beforeAutospacing="1" w:after="100" w:afterAutospacing="1"/>
      <w:jc w:val="left"/>
    </w:pPr>
    <w:rPr>
      <w:rFonts w:ascii="宋体" w:cs="宋体" w:hAnsi="宋体"/>
      <w:kern w:val="0"/>
      <w:sz w:val="24"/>
    </w:rPr>
  </w:style>
  <w:style w:type="paragraph" w:customStyle="1" w:styleId="573">
    <w:name w:val="style400"/>
    <w:basedOn w:val="0"/>
    <w:pPr>
      <w:widowControl/>
      <w:spacing w:before="100" w:beforeAutospacing="1" w:after="100" w:afterAutospacing="1"/>
      <w:jc w:val="left"/>
    </w:pPr>
    <w:rPr>
      <w:rFonts w:ascii="宋体" w:cs="宋体" w:hAnsi="宋体"/>
      <w:kern w:val="0"/>
      <w:sz w:val="24"/>
    </w:rPr>
  </w:style>
  <w:style w:type="paragraph" w:customStyle="1" w:styleId="574">
    <w:name w:val="style399"/>
    <w:basedOn w:val="0"/>
    <w:pPr>
      <w:widowControl/>
      <w:spacing w:before="100" w:beforeAutospacing="1" w:after="100" w:afterAutospacing="1"/>
      <w:jc w:val="left"/>
    </w:pPr>
    <w:rPr>
      <w:rFonts w:ascii="宋体" w:cs="宋体" w:hAnsi="宋体"/>
      <w:kern w:val="0"/>
      <w:sz w:val="24"/>
    </w:rPr>
  </w:style>
  <w:style w:type="paragraph" w:customStyle="1" w:styleId="575">
    <w:name w:val="style398"/>
    <w:basedOn w:val="0"/>
    <w:pPr>
      <w:widowControl/>
      <w:spacing w:before="100" w:beforeAutospacing="1" w:after="100" w:afterAutospacing="1"/>
      <w:jc w:val="left"/>
    </w:pPr>
    <w:rPr>
      <w:rFonts w:ascii="宋体" w:cs="宋体" w:hAnsi="宋体"/>
      <w:kern w:val="0"/>
      <w:sz w:val="24"/>
    </w:rPr>
  </w:style>
  <w:style w:type="paragraph" w:customStyle="1" w:styleId="576">
    <w:name w:val="style397"/>
    <w:basedOn w:val="0"/>
    <w:pPr>
      <w:widowControl/>
      <w:spacing w:before="100" w:beforeAutospacing="1" w:after="100" w:afterAutospacing="1"/>
      <w:jc w:val="left"/>
    </w:pPr>
    <w:rPr>
      <w:rFonts w:ascii="宋体" w:cs="宋体" w:hAnsi="宋体"/>
      <w:kern w:val="0"/>
      <w:sz w:val="24"/>
    </w:rPr>
  </w:style>
  <w:style w:type="paragraph" w:customStyle="1" w:styleId="577">
    <w:name w:val="style396"/>
    <w:basedOn w:val="0"/>
    <w:pPr>
      <w:widowControl/>
      <w:spacing w:before="100" w:beforeAutospacing="1" w:after="100" w:afterAutospacing="1"/>
      <w:jc w:val="left"/>
    </w:pPr>
    <w:rPr>
      <w:rFonts w:ascii="宋体" w:cs="宋体" w:hAnsi="宋体"/>
      <w:kern w:val="0"/>
      <w:sz w:val="24"/>
    </w:rPr>
  </w:style>
  <w:style w:type="paragraph" w:customStyle="1" w:styleId="578">
    <w:name w:val="style395"/>
    <w:basedOn w:val="0"/>
    <w:pPr>
      <w:widowControl/>
      <w:spacing w:before="100" w:beforeAutospacing="1" w:after="100" w:afterAutospacing="1"/>
      <w:jc w:val="left"/>
    </w:pPr>
    <w:rPr>
      <w:rFonts w:ascii="宋体" w:cs="宋体" w:hAnsi="宋体"/>
      <w:kern w:val="0"/>
      <w:sz w:val="24"/>
    </w:rPr>
  </w:style>
  <w:style w:type="paragraph" w:customStyle="1" w:styleId="579">
    <w:name w:val="style394"/>
    <w:basedOn w:val="0"/>
    <w:pPr>
      <w:widowControl/>
      <w:spacing w:before="100" w:beforeAutospacing="1" w:after="100" w:afterAutospacing="1"/>
      <w:jc w:val="left"/>
    </w:pPr>
    <w:rPr>
      <w:rFonts w:ascii="宋体" w:cs="宋体" w:hAnsi="宋体"/>
      <w:kern w:val="0"/>
      <w:sz w:val="24"/>
    </w:rPr>
  </w:style>
  <w:style w:type="paragraph" w:customStyle="1" w:styleId="580">
    <w:name w:val="style393"/>
    <w:basedOn w:val="0"/>
    <w:pPr>
      <w:widowControl/>
      <w:spacing w:before="100" w:beforeAutospacing="1" w:after="100" w:afterAutospacing="1"/>
      <w:jc w:val="left"/>
    </w:pPr>
    <w:rPr>
      <w:rFonts w:ascii="宋体" w:cs="宋体" w:hAnsi="宋体"/>
      <w:kern w:val="0"/>
      <w:sz w:val="24"/>
    </w:rPr>
  </w:style>
  <w:style w:type="paragraph" w:customStyle="1" w:styleId="581">
    <w:name w:val="style392"/>
    <w:basedOn w:val="0"/>
    <w:pPr>
      <w:widowControl/>
      <w:spacing w:before="100" w:beforeAutospacing="1" w:after="100" w:afterAutospacing="1"/>
      <w:jc w:val="left"/>
    </w:pPr>
    <w:rPr>
      <w:rFonts w:ascii="宋体" w:cs="宋体" w:hAnsi="宋体"/>
      <w:kern w:val="0"/>
      <w:sz w:val="24"/>
    </w:rPr>
  </w:style>
  <w:style w:type="paragraph" w:customStyle="1" w:styleId="582">
    <w:name w:val="style391"/>
    <w:basedOn w:val="0"/>
    <w:pPr>
      <w:widowControl/>
      <w:spacing w:before="100" w:beforeAutospacing="1" w:after="100" w:afterAutospacing="1"/>
      <w:jc w:val="left"/>
    </w:pPr>
    <w:rPr>
      <w:rFonts w:ascii="宋体" w:cs="宋体" w:hAnsi="宋体"/>
      <w:kern w:val="0"/>
      <w:sz w:val="24"/>
    </w:rPr>
  </w:style>
  <w:style w:type="paragraph" w:customStyle="1" w:styleId="583">
    <w:name w:val="style390"/>
    <w:basedOn w:val="0"/>
    <w:pPr>
      <w:widowControl/>
      <w:spacing w:before="100" w:beforeAutospacing="1" w:after="100" w:afterAutospacing="1"/>
      <w:jc w:val="left"/>
    </w:pPr>
    <w:rPr>
      <w:rFonts w:ascii="宋体" w:cs="宋体" w:hAnsi="宋体"/>
      <w:kern w:val="0"/>
      <w:sz w:val="24"/>
    </w:rPr>
  </w:style>
  <w:style w:type="paragraph" w:customStyle="1" w:styleId="584">
    <w:name w:val="style389"/>
    <w:basedOn w:val="0"/>
    <w:pPr>
      <w:widowControl/>
      <w:spacing w:before="100" w:beforeAutospacing="1" w:after="100" w:afterAutospacing="1"/>
      <w:jc w:val="left"/>
    </w:pPr>
    <w:rPr>
      <w:rFonts w:ascii="宋体" w:cs="宋体" w:hAnsi="宋体"/>
      <w:kern w:val="0"/>
      <w:sz w:val="24"/>
    </w:rPr>
  </w:style>
  <w:style w:type="paragraph" w:customStyle="1" w:styleId="585">
    <w:name w:val="style388"/>
    <w:basedOn w:val="0"/>
    <w:pPr>
      <w:widowControl/>
      <w:spacing w:before="100" w:beforeAutospacing="1" w:after="100" w:afterAutospacing="1"/>
      <w:jc w:val="left"/>
    </w:pPr>
    <w:rPr>
      <w:rFonts w:ascii="宋体" w:cs="宋体" w:hAnsi="宋体"/>
      <w:kern w:val="0"/>
      <w:sz w:val="24"/>
    </w:rPr>
  </w:style>
  <w:style w:type="paragraph" w:customStyle="1" w:styleId="586">
    <w:name w:val="style387"/>
    <w:basedOn w:val="0"/>
    <w:pPr>
      <w:widowControl/>
      <w:spacing w:before="100" w:beforeAutospacing="1" w:after="100" w:afterAutospacing="1"/>
      <w:jc w:val="left"/>
    </w:pPr>
    <w:rPr>
      <w:rFonts w:ascii="宋体" w:cs="宋体" w:hAnsi="宋体"/>
      <w:kern w:val="0"/>
      <w:sz w:val="24"/>
    </w:rPr>
  </w:style>
  <w:style w:type="paragraph" w:customStyle="1" w:styleId="587">
    <w:name w:val="style386"/>
    <w:basedOn w:val="0"/>
    <w:pPr>
      <w:widowControl/>
      <w:spacing w:before="100" w:beforeAutospacing="1" w:after="100" w:afterAutospacing="1"/>
      <w:jc w:val="left"/>
    </w:pPr>
    <w:rPr>
      <w:rFonts w:ascii="宋体" w:cs="宋体" w:hAnsi="宋体"/>
      <w:kern w:val="0"/>
      <w:sz w:val="24"/>
    </w:rPr>
  </w:style>
  <w:style w:type="paragraph" w:customStyle="1" w:styleId="588">
    <w:name w:val="style385"/>
    <w:basedOn w:val="0"/>
    <w:pPr>
      <w:widowControl/>
      <w:spacing w:before="100" w:beforeAutospacing="1" w:after="100" w:afterAutospacing="1"/>
      <w:jc w:val="left"/>
    </w:pPr>
    <w:rPr>
      <w:rFonts w:ascii="宋体" w:cs="宋体" w:hAnsi="宋体"/>
      <w:kern w:val="0"/>
      <w:sz w:val="24"/>
    </w:rPr>
  </w:style>
  <w:style w:type="paragraph" w:customStyle="1" w:styleId="589">
    <w:name w:val="style384"/>
    <w:basedOn w:val="0"/>
    <w:pPr>
      <w:widowControl/>
      <w:spacing w:before="100" w:beforeAutospacing="1" w:after="100" w:afterAutospacing="1"/>
      <w:jc w:val="left"/>
    </w:pPr>
    <w:rPr>
      <w:rFonts w:ascii="宋体" w:cs="宋体" w:hAnsi="宋体"/>
      <w:kern w:val="0"/>
      <w:sz w:val="24"/>
    </w:rPr>
  </w:style>
  <w:style w:type="paragraph" w:customStyle="1" w:styleId="590">
    <w:name w:val="style383"/>
    <w:basedOn w:val="0"/>
    <w:pPr>
      <w:widowControl/>
      <w:spacing w:before="100" w:beforeAutospacing="1" w:after="100" w:afterAutospacing="1"/>
      <w:jc w:val="left"/>
    </w:pPr>
    <w:rPr>
      <w:rFonts w:ascii="宋体" w:cs="宋体" w:hAnsi="宋体"/>
      <w:kern w:val="0"/>
      <w:sz w:val="24"/>
    </w:rPr>
  </w:style>
  <w:style w:type="paragraph" w:customStyle="1" w:styleId="591">
    <w:name w:val="style381"/>
    <w:basedOn w:val="0"/>
    <w:pPr>
      <w:widowControl/>
      <w:spacing w:before="100" w:beforeAutospacing="1" w:after="100" w:afterAutospacing="1"/>
      <w:jc w:val="left"/>
    </w:pPr>
    <w:rPr>
      <w:rFonts w:ascii="宋体" w:cs="宋体" w:hAnsi="宋体"/>
      <w:kern w:val="0"/>
      <w:sz w:val="24"/>
    </w:rPr>
  </w:style>
  <w:style w:type="paragraph" w:customStyle="1" w:styleId="592">
    <w:name w:val="style380"/>
    <w:basedOn w:val="0"/>
    <w:pPr>
      <w:widowControl/>
      <w:spacing w:before="100" w:beforeAutospacing="1" w:after="100" w:afterAutospacing="1"/>
      <w:jc w:val="left"/>
    </w:pPr>
    <w:rPr>
      <w:rFonts w:ascii="宋体" w:cs="宋体" w:hAnsi="宋体"/>
      <w:kern w:val="0"/>
      <w:sz w:val="24"/>
    </w:rPr>
  </w:style>
  <w:style w:type="paragraph" w:customStyle="1" w:styleId="593">
    <w:name w:val="style379"/>
    <w:basedOn w:val="0"/>
    <w:pPr>
      <w:widowControl/>
      <w:spacing w:before="100" w:beforeAutospacing="1" w:after="100" w:afterAutospacing="1"/>
      <w:jc w:val="left"/>
    </w:pPr>
    <w:rPr>
      <w:rFonts w:ascii="宋体" w:cs="宋体" w:hAnsi="宋体"/>
      <w:kern w:val="0"/>
      <w:sz w:val="24"/>
    </w:rPr>
  </w:style>
  <w:style w:type="paragraph" w:customStyle="1" w:styleId="594">
    <w:name w:val="style378"/>
    <w:basedOn w:val="0"/>
    <w:pPr>
      <w:widowControl/>
      <w:spacing w:before="100" w:beforeAutospacing="1" w:after="100" w:afterAutospacing="1"/>
      <w:jc w:val="left"/>
    </w:pPr>
    <w:rPr>
      <w:rFonts w:ascii="宋体" w:cs="宋体" w:hAnsi="宋体"/>
      <w:kern w:val="0"/>
      <w:sz w:val="24"/>
    </w:rPr>
  </w:style>
  <w:style w:type="paragraph" w:customStyle="1" w:styleId="595">
    <w:name w:val="style377"/>
    <w:basedOn w:val="0"/>
    <w:pPr>
      <w:widowControl/>
      <w:spacing w:before="100" w:beforeAutospacing="1" w:after="100" w:afterAutospacing="1"/>
      <w:jc w:val="left"/>
    </w:pPr>
    <w:rPr>
      <w:rFonts w:ascii="宋体" w:cs="宋体" w:hAnsi="宋体"/>
      <w:kern w:val="0"/>
      <w:sz w:val="24"/>
    </w:rPr>
  </w:style>
  <w:style w:type="paragraph" w:customStyle="1" w:styleId="596">
    <w:name w:val="style376"/>
    <w:basedOn w:val="0"/>
    <w:pPr>
      <w:widowControl/>
      <w:spacing w:before="100" w:beforeAutospacing="1" w:after="100" w:afterAutospacing="1"/>
      <w:jc w:val="left"/>
    </w:pPr>
    <w:rPr>
      <w:rFonts w:ascii="宋体" w:cs="宋体" w:hAnsi="宋体"/>
      <w:kern w:val="0"/>
      <w:sz w:val="24"/>
    </w:rPr>
  </w:style>
  <w:style w:type="paragraph" w:customStyle="1" w:styleId="597">
    <w:name w:val="style375"/>
    <w:basedOn w:val="0"/>
    <w:pPr>
      <w:widowControl/>
      <w:spacing w:before="100" w:beforeAutospacing="1" w:after="100" w:afterAutospacing="1"/>
      <w:jc w:val="left"/>
    </w:pPr>
    <w:rPr>
      <w:rFonts w:ascii="宋体" w:cs="宋体" w:hAnsi="宋体"/>
      <w:kern w:val="0"/>
      <w:sz w:val="24"/>
    </w:rPr>
  </w:style>
  <w:style w:type="paragraph" w:customStyle="1" w:styleId="598">
    <w:name w:val="style374"/>
    <w:basedOn w:val="0"/>
    <w:pPr>
      <w:widowControl/>
      <w:spacing w:before="100" w:beforeAutospacing="1" w:after="100" w:afterAutospacing="1"/>
      <w:jc w:val="left"/>
    </w:pPr>
    <w:rPr>
      <w:rFonts w:ascii="宋体" w:cs="宋体" w:hAnsi="宋体"/>
      <w:kern w:val="0"/>
      <w:sz w:val="24"/>
    </w:rPr>
  </w:style>
  <w:style w:type="paragraph" w:customStyle="1" w:styleId="599">
    <w:name w:val="style373"/>
    <w:basedOn w:val="0"/>
    <w:pPr>
      <w:widowControl/>
      <w:spacing w:before="100" w:beforeAutospacing="1" w:after="100" w:afterAutospacing="1"/>
      <w:jc w:val="left"/>
    </w:pPr>
    <w:rPr>
      <w:rFonts w:ascii="宋体" w:cs="宋体" w:hAnsi="宋体"/>
      <w:kern w:val="0"/>
      <w:sz w:val="24"/>
    </w:rPr>
  </w:style>
  <w:style w:type="paragraph" w:customStyle="1" w:styleId="600">
    <w:name w:val="style372"/>
    <w:basedOn w:val="0"/>
    <w:pPr>
      <w:widowControl/>
      <w:spacing w:before="100" w:beforeAutospacing="1" w:after="100" w:afterAutospacing="1"/>
      <w:jc w:val="left"/>
    </w:pPr>
    <w:rPr>
      <w:rFonts w:ascii="宋体" w:cs="宋体" w:hAnsi="宋体"/>
      <w:kern w:val="0"/>
      <w:sz w:val="24"/>
    </w:rPr>
  </w:style>
  <w:style w:type="paragraph" w:customStyle="1" w:styleId="601">
    <w:name w:val="style371"/>
    <w:basedOn w:val="0"/>
    <w:pPr>
      <w:widowControl/>
      <w:spacing w:before="100" w:beforeAutospacing="1" w:after="100" w:afterAutospacing="1"/>
      <w:jc w:val="left"/>
    </w:pPr>
    <w:rPr>
      <w:rFonts w:ascii="宋体" w:cs="宋体" w:hAnsi="宋体"/>
      <w:kern w:val="0"/>
      <w:sz w:val="24"/>
    </w:rPr>
  </w:style>
  <w:style w:type="paragraph" w:customStyle="1" w:styleId="602">
    <w:name w:val="style370"/>
    <w:basedOn w:val="0"/>
    <w:pPr>
      <w:widowControl/>
      <w:spacing w:before="100" w:beforeAutospacing="1" w:after="100" w:afterAutospacing="1"/>
      <w:jc w:val="left"/>
    </w:pPr>
    <w:rPr>
      <w:rFonts w:ascii="宋体" w:cs="宋体" w:hAnsi="宋体"/>
      <w:kern w:val="0"/>
      <w:sz w:val="24"/>
    </w:rPr>
  </w:style>
  <w:style w:type="paragraph" w:customStyle="1" w:styleId="603">
    <w:name w:val="style369"/>
    <w:basedOn w:val="0"/>
    <w:pPr>
      <w:widowControl/>
      <w:spacing w:before="100" w:beforeAutospacing="1" w:after="100" w:afterAutospacing="1"/>
      <w:jc w:val="left"/>
    </w:pPr>
    <w:rPr>
      <w:rFonts w:ascii="宋体" w:cs="宋体" w:hAnsi="宋体"/>
      <w:kern w:val="0"/>
      <w:sz w:val="24"/>
    </w:rPr>
  </w:style>
  <w:style w:type="paragraph" w:customStyle="1" w:styleId="604">
    <w:name w:val="style368"/>
    <w:basedOn w:val="0"/>
    <w:pPr>
      <w:widowControl/>
      <w:spacing w:before="100" w:beforeAutospacing="1" w:after="100" w:afterAutospacing="1"/>
      <w:jc w:val="left"/>
    </w:pPr>
    <w:rPr>
      <w:rFonts w:ascii="宋体" w:cs="宋体" w:hAnsi="宋体"/>
      <w:kern w:val="0"/>
      <w:sz w:val="24"/>
    </w:rPr>
  </w:style>
  <w:style w:type="paragraph" w:customStyle="1" w:styleId="605">
    <w:name w:val="style367"/>
    <w:basedOn w:val="0"/>
    <w:pPr>
      <w:widowControl/>
      <w:spacing w:before="100" w:beforeAutospacing="1" w:after="100" w:afterAutospacing="1"/>
      <w:jc w:val="left"/>
    </w:pPr>
    <w:rPr>
      <w:rFonts w:ascii="宋体" w:cs="宋体" w:hAnsi="宋体"/>
      <w:kern w:val="0"/>
      <w:sz w:val="24"/>
    </w:rPr>
  </w:style>
  <w:style w:type="paragraph" w:customStyle="1" w:styleId="606">
    <w:name w:val="style366"/>
    <w:basedOn w:val="0"/>
    <w:pPr>
      <w:widowControl/>
      <w:spacing w:before="100" w:beforeAutospacing="1" w:after="100" w:afterAutospacing="1"/>
      <w:jc w:val="left"/>
    </w:pPr>
    <w:rPr>
      <w:rFonts w:ascii="宋体" w:cs="宋体" w:hAnsi="宋体"/>
      <w:kern w:val="0"/>
      <w:sz w:val="24"/>
    </w:rPr>
  </w:style>
  <w:style w:type="paragraph" w:customStyle="1" w:styleId="607">
    <w:name w:val="style365"/>
    <w:basedOn w:val="0"/>
    <w:pPr>
      <w:widowControl/>
      <w:spacing w:before="100" w:beforeAutospacing="1" w:after="100" w:afterAutospacing="1"/>
      <w:jc w:val="left"/>
    </w:pPr>
    <w:rPr>
      <w:rFonts w:ascii="宋体" w:cs="宋体" w:hAnsi="宋体"/>
      <w:kern w:val="0"/>
      <w:sz w:val="24"/>
    </w:rPr>
  </w:style>
  <w:style w:type="paragraph" w:customStyle="1" w:styleId="608">
    <w:name w:val="style364"/>
    <w:basedOn w:val="0"/>
    <w:pPr>
      <w:widowControl/>
      <w:spacing w:before="100" w:beforeAutospacing="1" w:after="100" w:afterAutospacing="1"/>
      <w:jc w:val="left"/>
    </w:pPr>
    <w:rPr>
      <w:rFonts w:ascii="宋体" w:cs="宋体" w:hAnsi="宋体"/>
      <w:kern w:val="0"/>
      <w:sz w:val="24"/>
    </w:rPr>
  </w:style>
  <w:style w:type="paragraph" w:customStyle="1" w:styleId="609">
    <w:name w:val="style363"/>
    <w:basedOn w:val="0"/>
    <w:pPr>
      <w:widowControl/>
      <w:spacing w:before="100" w:beforeAutospacing="1" w:after="100" w:afterAutospacing="1"/>
      <w:jc w:val="left"/>
    </w:pPr>
    <w:rPr>
      <w:rFonts w:ascii="宋体" w:cs="宋体" w:hAnsi="宋体"/>
      <w:kern w:val="0"/>
      <w:sz w:val="24"/>
    </w:rPr>
  </w:style>
  <w:style w:type="paragraph" w:customStyle="1" w:styleId="610">
    <w:name w:val="style362"/>
    <w:basedOn w:val="0"/>
    <w:pPr>
      <w:widowControl/>
      <w:spacing w:before="100" w:beforeAutospacing="1" w:after="100" w:afterAutospacing="1"/>
      <w:jc w:val="left"/>
    </w:pPr>
    <w:rPr>
      <w:rFonts w:ascii="宋体" w:cs="宋体" w:hAnsi="宋体"/>
      <w:kern w:val="0"/>
      <w:sz w:val="24"/>
    </w:rPr>
  </w:style>
  <w:style w:type="paragraph" w:customStyle="1" w:styleId="611">
    <w:name w:val="style361"/>
    <w:basedOn w:val="0"/>
    <w:pPr>
      <w:widowControl/>
      <w:spacing w:before="100" w:beforeAutospacing="1" w:after="100" w:afterAutospacing="1"/>
      <w:jc w:val="left"/>
    </w:pPr>
    <w:rPr>
      <w:rFonts w:ascii="宋体" w:cs="宋体" w:hAnsi="宋体"/>
      <w:kern w:val="0"/>
      <w:sz w:val="24"/>
    </w:rPr>
  </w:style>
  <w:style w:type="paragraph" w:customStyle="1" w:styleId="612">
    <w:name w:val="oj-normal"/>
    <w:basedOn w:val="0"/>
    <w:pPr>
      <w:widowControl/>
      <w:spacing w:before="100" w:beforeAutospacing="1" w:after="100" w:afterAutospacing="1"/>
      <w:jc w:val="left"/>
    </w:pPr>
    <w:rPr>
      <w:rFonts w:ascii="宋体" w:cs="宋体" w:hAnsi="宋体"/>
      <w:kern w:val="0"/>
      <w:sz w:val="24"/>
    </w:rPr>
  </w:style>
  <w:style w:type="character" w:customStyle="1" w:styleId="613">
    <w:name w:val="未处理的提及162"/>
    <w:basedOn w:val="10"/>
    <w:rPr>
      <w:color w:val="605E5C"/>
      <w:shd w:val="clear" w:color="auto" w:fill="E1DFDD"/>
    </w:rPr>
  </w:style>
  <w:style w:type="character" w:customStyle="1" w:styleId="614">
    <w:name w:val="original-tag"/>
    <w:basedOn w:val="10"/>
  </w:style>
  <w:style w:type="character" w:customStyle="1" w:styleId="615">
    <w:name w:val="dot"/>
    <w:basedOn w:val="10"/>
  </w:style>
  <w:style w:type="character" w:customStyle="1" w:styleId="616">
    <w:name w:val="name"/>
    <w:basedOn w:val="10"/>
  </w:style>
  <w:style w:type="character" w:customStyle="1" w:styleId="617">
    <w:name w:val="content-right8zs40"/>
    <w:basedOn w:val="10"/>
  </w:style>
  <w:style w:type="character" w:customStyle="1" w:styleId="618">
    <w:name w:val="未处理的提及163"/>
    <w:basedOn w:val="10"/>
    <w:rPr>
      <w:color w:val="605E5C"/>
      <w:shd w:val="clear" w:color="auto" w:fill="E1DFDD"/>
    </w:rPr>
  </w:style>
  <w:style w:type="character" w:customStyle="1" w:styleId="619">
    <w:name w:val="未处理的提及164"/>
    <w:basedOn w:val="10"/>
    <w:rPr>
      <w:color w:val="605E5C"/>
      <w:shd w:val="clear" w:color="auto" w:fill="E1DFDD"/>
    </w:rPr>
  </w:style>
  <w:style w:type="character" w:customStyle="1" w:styleId="620">
    <w:name w:val="691char"/>
    <w:basedOn w:val="10"/>
  </w:style>
  <w:style w:type="character" w:customStyle="1" w:styleId="621">
    <w:name w:val="693char"/>
    <w:basedOn w:val="10"/>
  </w:style>
  <w:style w:type="character" w:customStyle="1" w:styleId="622">
    <w:name w:val="未处理的提及165"/>
    <w:basedOn w:val="10"/>
    <w:rPr>
      <w:color w:val="605E5C"/>
      <w:shd w:val="clear" w:color="auto" w:fill="E1DFDD"/>
    </w:rPr>
  </w:style>
  <w:style w:type="paragraph" w:customStyle="1" w:styleId="623">
    <w:name w:val="ingress"/>
    <w:basedOn w:val="0"/>
    <w:pPr>
      <w:widowControl/>
      <w:spacing w:before="100" w:beforeAutospacing="1" w:after="100" w:afterAutospacing="1"/>
      <w:jc w:val="left"/>
    </w:pPr>
    <w:rPr>
      <w:rFonts w:ascii="宋体" w:cs="宋体" w:hAnsi="宋体"/>
      <w:kern w:val="0"/>
      <w:sz w:val="24"/>
    </w:rPr>
  </w:style>
  <w:style w:type="character" w:customStyle="1" w:styleId="624">
    <w:name w:val="722char"/>
    <w:basedOn w:val="10"/>
  </w:style>
  <w:style w:type="character" w:customStyle="1" w:styleId="625">
    <w:name w:val="725char"/>
    <w:basedOn w:val="10"/>
  </w:style>
  <w:style w:type="character" w:customStyle="1" w:styleId="626">
    <w:name w:val="726char"/>
    <w:basedOn w:val="10"/>
  </w:style>
  <w:style w:type="character" w:customStyle="1" w:styleId="627">
    <w:name w:val="727char"/>
    <w:basedOn w:val="10"/>
  </w:style>
  <w:style w:type="character" w:customStyle="1" w:styleId="628">
    <w:name w:val="ecl-u-type-capitalize"/>
    <w:basedOn w:val="10"/>
  </w:style>
  <w:style w:type="character" w:customStyle="1" w:styleId="629">
    <w:name w:val="未处理的提及166"/>
    <w:basedOn w:val="10"/>
    <w:rPr>
      <w:color w:val="605E5C"/>
      <w:shd w:val="clear" w:color="auto" w:fill="E1DFDD"/>
    </w:rPr>
  </w:style>
  <w:style w:type="paragraph" w:customStyle="1" w:styleId="630">
    <w:name w:val="oj-tbl-hdr"/>
    <w:basedOn w:val="0"/>
    <w:pPr>
      <w:widowControl/>
      <w:spacing w:before="100" w:beforeAutospacing="1" w:after="100" w:afterAutospacing="1"/>
      <w:jc w:val="left"/>
    </w:pPr>
    <w:rPr>
      <w:rFonts w:ascii="宋体" w:cs="宋体" w:hAnsi="宋体"/>
      <w:kern w:val="0"/>
      <w:sz w:val="24"/>
    </w:rPr>
  </w:style>
  <w:style w:type="paragraph" w:customStyle="1" w:styleId="631">
    <w:name w:val="oj-tbl-txt"/>
    <w:basedOn w:val="0"/>
    <w:pPr>
      <w:widowControl/>
      <w:spacing w:before="100" w:beforeAutospacing="1" w:after="100" w:afterAutospacing="1"/>
      <w:jc w:val="left"/>
    </w:pPr>
    <w:rPr>
      <w:rFonts w:ascii="宋体" w:cs="宋体" w:hAnsi="宋体"/>
      <w:kern w:val="0"/>
      <w:sz w:val="24"/>
    </w:rPr>
  </w:style>
  <w:style w:type="character" w:customStyle="1" w:styleId="632">
    <w:name w:val="未处理的提及167"/>
    <w:basedOn w:val="10"/>
    <w:rPr>
      <w:color w:val="605E5C"/>
      <w:shd w:val="clear" w:color="auto" w:fill="E1DFDD"/>
    </w:rPr>
  </w:style>
  <w:style w:type="paragraph" w:customStyle="1" w:styleId="633">
    <w:name w:val="style470"/>
    <w:basedOn w:val="0"/>
    <w:pPr>
      <w:widowControl/>
      <w:spacing w:before="100" w:beforeAutospacing="1" w:after="100" w:afterAutospacing="1"/>
      <w:jc w:val="left"/>
    </w:pPr>
    <w:rPr>
      <w:rFonts w:ascii="宋体" w:cs="宋体" w:hAnsi="宋体"/>
      <w:kern w:val="0"/>
      <w:sz w:val="24"/>
    </w:rPr>
  </w:style>
  <w:style w:type="paragraph" w:customStyle="1" w:styleId="634">
    <w:name w:val="style1"/>
    <w:basedOn w:val="0"/>
    <w:pPr>
      <w:widowControl/>
      <w:spacing w:before="100" w:beforeAutospacing="1" w:after="100" w:afterAutospacing="1"/>
      <w:jc w:val="left"/>
    </w:pPr>
    <w:rPr>
      <w:rFonts w:ascii="宋体" w:cs="宋体" w:hAnsi="宋体"/>
      <w:kern w:val="0"/>
      <w:sz w:val="24"/>
    </w:rPr>
  </w:style>
  <w:style w:type="character" w:customStyle="1" w:styleId="635">
    <w:name w:val="oj-sub"/>
    <w:basedOn w:val="10"/>
  </w:style>
  <w:style w:type="paragraph" w:customStyle="1" w:styleId="636">
    <w:name w:val="style15"/>
    <w:basedOn w:val="0"/>
    <w:pPr>
      <w:widowControl/>
      <w:spacing w:before="100" w:beforeAutospacing="1" w:after="100" w:afterAutospacing="1"/>
      <w:jc w:val="left"/>
    </w:pPr>
    <w:rPr>
      <w:rFonts w:ascii="宋体" w:cs="宋体" w:hAnsi="宋体"/>
      <w:kern w:val="0"/>
      <w:sz w:val="24"/>
    </w:rPr>
  </w:style>
  <w:style w:type="paragraph" w:customStyle="1" w:styleId="637">
    <w:name w:val="style16"/>
    <w:basedOn w:val="0"/>
    <w:pPr>
      <w:widowControl/>
      <w:spacing w:before="100" w:beforeAutospacing="1" w:after="100" w:afterAutospacing="1"/>
      <w:jc w:val="left"/>
    </w:pPr>
    <w:rPr>
      <w:rFonts w:ascii="宋体" w:cs="宋体" w:hAnsi="宋体"/>
      <w:kern w:val="0"/>
      <w:sz w:val="24"/>
    </w:rPr>
  </w:style>
  <w:style w:type="paragraph" w:customStyle="1" w:styleId="638">
    <w:name w:val="style17"/>
    <w:basedOn w:val="0"/>
    <w:pPr>
      <w:widowControl/>
      <w:spacing w:before="100" w:beforeAutospacing="1" w:after="100" w:afterAutospacing="1"/>
      <w:jc w:val="left"/>
    </w:pPr>
    <w:rPr>
      <w:rFonts w:ascii="宋体" w:cs="宋体" w:hAnsi="宋体"/>
      <w:kern w:val="0"/>
      <w:sz w:val="24"/>
    </w:rPr>
  </w:style>
  <w:style w:type="character" w:customStyle="1" w:styleId="639">
    <w:name w:val="未处理的提及168"/>
    <w:basedOn w:val="10"/>
    <w:rPr>
      <w:color w:val="605E5C"/>
      <w:shd w:val="clear" w:color="auto" w:fill="E1DFDD"/>
    </w:rPr>
  </w:style>
  <w:style w:type="paragraph" w:customStyle="1" w:styleId="640">
    <w:name w:val="xl6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character" w:customStyle="1" w:styleId="641">
    <w:name w:val="未处理的提及169"/>
    <w:basedOn w:val="10"/>
    <w:rPr>
      <w:color w:val="605E5C"/>
      <w:shd w:val="clear" w:color="auto" w:fill="E1DFDD"/>
    </w:rPr>
  </w:style>
  <w:style w:type="character" w:customStyle="1" w:styleId="642">
    <w:name w:val="font31"/>
    <w:basedOn w:val="10"/>
  </w:style>
  <w:style w:type="paragraph" w:customStyle="1" w:styleId="643">
    <w:name w:val="oj-tbl-cod"/>
    <w:basedOn w:val="0"/>
    <w:pPr>
      <w:widowControl/>
      <w:spacing w:before="100" w:beforeAutospacing="1" w:after="100" w:afterAutospacing="1"/>
      <w:jc w:val="left"/>
    </w:pPr>
    <w:rPr>
      <w:rFonts w:ascii="宋体" w:cs="宋体" w:hAnsi="宋体"/>
      <w:kern w:val="0"/>
      <w:sz w:val="24"/>
    </w:rPr>
  </w:style>
  <w:style w:type="paragraph" w:customStyle="1" w:styleId="644">
    <w:name w:val="oj-tbl-num"/>
    <w:basedOn w:val="0"/>
    <w:pPr>
      <w:widowControl/>
      <w:spacing w:before="100" w:beforeAutospacing="1" w:after="100" w:afterAutospacing="1"/>
      <w:jc w:val="left"/>
    </w:pPr>
    <w:rPr>
      <w:rFonts w:ascii="宋体" w:cs="宋体" w:hAnsi="宋体"/>
      <w:kern w:val="0"/>
      <w:sz w:val="24"/>
    </w:rPr>
  </w:style>
  <w:style w:type="character" w:customStyle="1" w:styleId="645">
    <w:name w:val="未处理的提及170"/>
    <w:basedOn w:val="10"/>
    <w:rPr>
      <w:color w:val="605E5C"/>
      <w:shd w:val="clear" w:color="auto" w:fill="E1DFDD"/>
    </w:rPr>
  </w:style>
  <w:style w:type="character" w:customStyle="1" w:styleId="646">
    <w:name w:val="未处理的提及171"/>
    <w:basedOn w:val="10"/>
    <w:rPr>
      <w:color w:val="605E5C"/>
      <w:shd w:val="clear" w:color="auto" w:fill="E1DFDD"/>
    </w:rPr>
  </w:style>
  <w:style w:type="character" w:customStyle="1" w:styleId="647">
    <w:name w:val="wx_text_underline"/>
    <w:basedOn w:val="10"/>
  </w:style>
  <w:style w:type="paragraph" w:customStyle="1" w:styleId="648">
    <w:name w:val="text-tag1"/>
    <w:basedOn w:val="0"/>
    <w:pPr>
      <w:widowControl/>
      <w:spacing w:before="100" w:beforeAutospacing="1" w:after="100" w:afterAutospacing="1"/>
      <w:jc w:val="left"/>
    </w:pPr>
    <w:rPr>
      <w:rFonts w:ascii="宋体" w:cs="宋体" w:hAnsi="宋体"/>
      <w:kern w:val="0"/>
      <w:sz w:val="24"/>
    </w:rPr>
  </w:style>
  <w:style w:type="character" w:customStyle="1" w:styleId="649">
    <w:name w:val="dms-document-link-content"/>
    <w:basedOn w:val="10"/>
  </w:style>
  <w:style w:type="character" w:customStyle="1" w:styleId="650">
    <w:name w:val="未处理的提及172"/>
    <w:basedOn w:val="10"/>
    <w:rPr>
      <w:color w:val="605E5C"/>
      <w:shd w:val="clear" w:color="auto" w:fill="E1DFDD"/>
    </w:rPr>
  </w:style>
  <w:style w:type="paragraph" w:styleId="651">
    <w:name w:val="footnote text"/>
    <w:basedOn w:val="0"/>
    <w:pPr>
      <w:snapToGrid w:val="0"/>
      <w:jc w:val="left"/>
    </w:pPr>
    <w:rPr>
      <w:sz w:val="18"/>
      <w:szCs w:val="18"/>
    </w:rPr>
  </w:style>
  <w:style w:type="character" w:styleId="652">
    <w:name w:val="footnote reference"/>
    <w:basedOn w:val="10"/>
    <w:rPr>
      <w:vertAlign w:val="superscript"/>
    </w:rPr>
  </w:style>
  <w:style w:type="paragraph" w:customStyle="1" w:styleId="653">
    <w:name w:val="xl7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FF0000"/>
      <w:kern w:val="0"/>
      <w:sz w:val="18"/>
      <w:szCs w:val="18"/>
    </w:rPr>
  </w:style>
  <w:style w:type="character" w:customStyle="1" w:styleId="654">
    <w:name w:val="未处理的提及173"/>
    <w:basedOn w:val="10"/>
    <w:rPr>
      <w:color w:val="605E5C"/>
      <w:shd w:val="clear" w:color="auto" w:fill="E1DFDD"/>
    </w:rPr>
  </w:style>
  <w:style w:type="character" w:customStyle="1" w:styleId="655">
    <w:name w:val="未处理的提及174"/>
    <w:basedOn w:val="10"/>
    <w:rPr>
      <w:color w:val="605E5C"/>
      <w:shd w:val="clear" w:color="auto" w:fill="E1DFDD"/>
    </w:rPr>
  </w:style>
  <w:style w:type="character" w:customStyle="1" w:styleId="656">
    <w:name w:val="bjh-p"/>
    <w:basedOn w:val="10"/>
  </w:style>
  <w:style w:type="paragraph" w:customStyle="1" w:styleId="657">
    <w:name w:val="style585"/>
    <w:basedOn w:val="0"/>
    <w:pPr>
      <w:widowControl/>
      <w:spacing w:before="100" w:beforeAutospacing="1" w:after="100" w:afterAutospacing="1"/>
      <w:jc w:val="left"/>
    </w:pPr>
    <w:rPr>
      <w:rFonts w:ascii="宋体" w:cs="宋体" w:hAnsi="宋体"/>
      <w:kern w:val="0"/>
      <w:sz w:val="24"/>
    </w:rPr>
  </w:style>
  <w:style w:type="character" w:customStyle="1" w:styleId="658">
    <w:name w:val="未处理的提及175"/>
    <w:basedOn w:val="10"/>
    <w:rPr>
      <w:color w:val="605E5C"/>
      <w:shd w:val="clear" w:color="auto" w:fill="E1DFDD"/>
    </w:rPr>
  </w:style>
  <w:style w:type="character" w:customStyle="1" w:styleId="659">
    <w:name w:val="未处理的提及176"/>
    <w:basedOn w:val="10"/>
    <w:rPr>
      <w:color w:val="605E5C"/>
      <w:shd w:val="clear" w:color="auto" w:fill="E1DFDD"/>
    </w:rPr>
  </w:style>
  <w:style w:type="character" w:customStyle="1" w:styleId="660">
    <w:name w:val="未处理的提及177"/>
    <w:basedOn w:val="10"/>
    <w:rPr>
      <w:color w:val="605E5C"/>
      <w:shd w:val="clear" w:color="auto" w:fill="E1DFDD"/>
    </w:rPr>
  </w:style>
  <w:style w:type="character" w:customStyle="1" w:styleId="661">
    <w:name w:val="未处理的提及178"/>
    <w:basedOn w:val="10"/>
    <w:rPr>
      <w:color w:val="605E5C"/>
      <w:shd w:val="clear" w:color="auto" w:fill="E1DFDD"/>
    </w:rPr>
  </w:style>
  <w:style w:type="paragraph" w:customStyle="1" w:styleId="662">
    <w:name w:val="text_align-justify"/>
    <w:basedOn w:val="0"/>
    <w:pPr>
      <w:widowControl/>
      <w:spacing w:before="100" w:beforeAutospacing="1" w:after="100" w:afterAutospacing="1"/>
      <w:jc w:val="left"/>
    </w:pPr>
    <w:rPr>
      <w:rFonts w:ascii="宋体" w:cs="宋体" w:hAnsi="宋体"/>
      <w:kern w:val="0"/>
      <w:sz w:val="24"/>
    </w:rPr>
  </w:style>
  <w:style w:type="character" w:customStyle="1" w:styleId="663">
    <w:name w:val="color-00269a"/>
    <w:basedOn w:val="10"/>
  </w:style>
  <w:style w:type="paragraph" w:customStyle="1" w:styleId="664">
    <w:name w:val="style548"/>
    <w:basedOn w:val="0"/>
    <w:pPr>
      <w:widowControl/>
      <w:spacing w:before="100" w:beforeAutospacing="1" w:after="100" w:afterAutospacing="1"/>
      <w:jc w:val="left"/>
    </w:pPr>
    <w:rPr>
      <w:rFonts w:ascii="宋体" w:cs="宋体" w:hAnsi="宋体"/>
      <w:kern w:val="0"/>
      <w:sz w:val="24"/>
    </w:rPr>
  </w:style>
  <w:style w:type="paragraph" w:customStyle="1" w:styleId="665">
    <w:name w:val="p2"/>
    <w:basedOn w:val="0"/>
    <w:pPr>
      <w:widowControl/>
      <w:spacing w:before="100" w:beforeAutospacing="1" w:after="100" w:afterAutospacing="1"/>
      <w:jc w:val="left"/>
    </w:pPr>
    <w:rPr>
      <w:rFonts w:ascii="宋体" w:cs="宋体" w:hAnsi="宋体"/>
      <w:kern w:val="0"/>
      <w:sz w:val="24"/>
    </w:rPr>
  </w:style>
  <w:style w:type="paragraph" w:customStyle="1" w:styleId="666">
    <w:name w:val="p3"/>
    <w:basedOn w:val="0"/>
    <w:pPr>
      <w:widowControl/>
      <w:spacing w:before="100" w:beforeAutospacing="1" w:after="100" w:afterAutospacing="1"/>
      <w:jc w:val="left"/>
    </w:pPr>
    <w:rPr>
      <w:rFonts w:ascii="宋体" w:cs="宋体" w:hAnsi="宋体"/>
      <w:kern w:val="0"/>
      <w:sz w:val="24"/>
    </w:rPr>
  </w:style>
  <w:style w:type="paragraph" w:customStyle="1" w:styleId="667">
    <w:name w:val="p4"/>
    <w:basedOn w:val="0"/>
    <w:pPr>
      <w:widowControl/>
      <w:spacing w:before="100" w:beforeAutospacing="1" w:after="100" w:afterAutospacing="1"/>
      <w:jc w:val="left"/>
    </w:pPr>
    <w:rPr>
      <w:rFonts w:ascii="宋体" w:cs="宋体" w:hAnsi="宋体"/>
      <w:kern w:val="0"/>
      <w:sz w:val="24"/>
    </w:rPr>
  </w:style>
  <w:style w:type="character" w:customStyle="1" w:styleId="668">
    <w:name w:val="未处理的提及179"/>
    <w:basedOn w:val="10"/>
    <w:rPr>
      <w:color w:val="605E5C"/>
      <w:shd w:val="clear" w:color="auto" w:fill="E1DFDD"/>
    </w:rPr>
  </w:style>
  <w:style w:type="paragraph" w:customStyle="1" w:styleId="669">
    <w:name w:val="style584"/>
    <w:basedOn w:val="0"/>
    <w:pPr>
      <w:widowControl/>
      <w:spacing w:before="100" w:beforeAutospacing="1" w:after="100" w:afterAutospacing="1"/>
      <w:jc w:val="left"/>
    </w:pPr>
    <w:rPr>
      <w:rFonts w:ascii="宋体" w:cs="宋体" w:hAnsi="宋体"/>
      <w:kern w:val="0"/>
      <w:sz w:val="24"/>
    </w:rPr>
  </w:style>
  <w:style w:type="character" w:customStyle="1" w:styleId="670">
    <w:name w:val="font41"/>
    <w:basedOn w:val="10"/>
  </w:style>
  <w:style w:type="character" w:customStyle="1" w:styleId="671">
    <w:name w:val="未处理的提及180"/>
    <w:basedOn w:val="10"/>
    <w:rPr>
      <w:color w:val="605E5C"/>
      <w:shd w:val="clear" w:color="auto" w:fill="E1DFDD"/>
    </w:rPr>
  </w:style>
  <w:style w:type="character" w:customStyle="1" w:styleId="672">
    <w:name w:val="未处理的提及181"/>
    <w:basedOn w:val="10"/>
    <w:rPr>
      <w:color w:val="605E5C"/>
      <w:shd w:val="clear" w:color="auto" w:fill="E1DFDD"/>
    </w:rPr>
  </w:style>
  <w:style w:type="character" w:customStyle="1" w:styleId="673">
    <w:name w:val="未处理的提及182"/>
    <w:basedOn w:val="10"/>
    <w:rPr>
      <w:color w:val="605E5C"/>
      <w:shd w:val="clear" w:color="auto" w:fill="E1DFDD"/>
    </w:rPr>
  </w:style>
  <w:style w:type="paragraph" w:customStyle="1" w:styleId="674">
    <w:name w:val="hstyle0"/>
    <w:basedOn w:val="0"/>
    <w:pPr>
      <w:widowControl/>
      <w:spacing w:before="100" w:beforeAutospacing="1" w:after="100" w:afterAutospacing="1"/>
      <w:jc w:val="left"/>
    </w:pPr>
    <w:rPr>
      <w:rFonts w:ascii="宋体" w:cs="宋体" w:hAnsi="宋体"/>
      <w:kern w:val="0"/>
      <w:sz w:val="24"/>
    </w:rPr>
  </w:style>
  <w:style w:type="paragraph" w:customStyle="1" w:styleId="675">
    <w:name w:val="ds-markdown-paragraph"/>
    <w:basedOn w:val="0"/>
    <w:pPr>
      <w:widowControl/>
      <w:spacing w:before="100" w:beforeAutospacing="1" w:after="100" w:afterAutospacing="1"/>
      <w:jc w:val="left"/>
    </w:pPr>
    <w:rPr>
      <w:rFonts w:ascii="宋体" w:cs="宋体" w:hAnsi="宋体"/>
      <w:kern w:val="0"/>
      <w:sz w:val="24"/>
    </w:rPr>
  </w:style>
  <w:style w:type="character" w:customStyle="1" w:styleId="676">
    <w:name w:val="未处理的提及183"/>
    <w:basedOn w:val="10"/>
    <w:rPr>
      <w:color w:val="605E5C"/>
      <w:shd w:val="clear" w:color="auto" w:fill="E1DFDD"/>
    </w:rPr>
  </w:style>
  <w:style w:type="character" w:customStyle="1" w:styleId="677">
    <w:name w:val="未处理的提及184"/>
    <w:basedOn w:val="10"/>
    <w:rPr>
      <w:color w:val="605E5C"/>
      <w:shd w:val="clear" w:color="auto" w:fill="E1DFDD"/>
    </w:rPr>
  </w:style>
  <w:style w:type="character" w:customStyle="1" w:styleId="678">
    <w:name w:val="keylink"/>
    <w:basedOn w:val="10"/>
  </w:style>
  <w:style w:type="character" w:customStyle="1" w:styleId="679">
    <w:name w:val="未处理的提及185"/>
    <w:basedOn w:val="10"/>
    <w:rPr>
      <w:color w:val="605E5C"/>
      <w:shd w:val="clear" w:color="auto" w:fill="E1DFDD"/>
    </w:rPr>
  </w:style>
  <w:style w:type="character" w:customStyle="1" w:styleId="680">
    <w:name w:val="_2ggwi"/>
    <w:basedOn w:val="10"/>
  </w:style>
  <w:style w:type="character" w:customStyle="1" w:styleId="681">
    <w:name w:val="hljs-section"/>
    <w:basedOn w:val="10"/>
  </w:style>
  <w:style w:type="character" w:customStyle="1" w:styleId="682">
    <w:name w:val="hljs-bullet"/>
    <w:basedOn w:val="10"/>
  </w:style>
  <w:style w:type="paragraph" w:customStyle="1" w:styleId="683">
    <w:name w:val="style610"/>
    <w:basedOn w:val="0"/>
    <w:pPr>
      <w:widowControl/>
      <w:spacing w:before="100" w:beforeAutospacing="1" w:after="100" w:afterAutospacing="1"/>
      <w:jc w:val="left"/>
    </w:pPr>
    <w:rPr>
      <w:rFonts w:ascii="宋体" w:cs="宋体" w:hAnsi="宋体"/>
      <w:kern w:val="0"/>
      <w:sz w:val="24"/>
    </w:rPr>
  </w:style>
  <w:style w:type="character" w:customStyle="1" w:styleId="684">
    <w:name w:val="979char"/>
    <w:basedOn w:val="10"/>
  </w:style>
  <w:style w:type="character" w:customStyle="1" w:styleId="685">
    <w:name w:val="未处理的提及186"/>
    <w:basedOn w:val="10"/>
    <w:rPr>
      <w:color w:val="605E5C"/>
      <w:shd w:val="clear" w:color="auto" w:fill="E1DFDD"/>
    </w:rPr>
  </w:style>
  <w:style w:type="paragraph" w:customStyle="1" w:styleId="686">
    <w:name w:val="_paragraph_1g9za_2"/>
    <w:basedOn w:val="0"/>
    <w:pPr>
      <w:widowControl/>
      <w:spacing w:before="100" w:beforeAutospacing="1" w:after="100" w:afterAutospacing="1"/>
      <w:jc w:val="left"/>
    </w:pPr>
    <w:rPr>
      <w:rFonts w:ascii="宋体" w:cs="宋体" w:hAnsi="宋体"/>
      <w:kern w:val="0"/>
      <w:sz w:val="24"/>
    </w:rPr>
  </w:style>
  <w:style w:type="character" w:customStyle="1" w:styleId="687">
    <w:name w:val="未处理的提及187"/>
    <w:basedOn w:val="10"/>
    <w:rPr>
      <w:color w:val="605E5C"/>
      <w:shd w:val="clear" w:color="auto" w:fill="E1DFDD"/>
    </w:rPr>
  </w:style>
  <w:style w:type="character" w:customStyle="1" w:styleId="688">
    <w:name w:val="未处理的提及188"/>
    <w:basedOn w:val="10"/>
    <w:rPr>
      <w:color w:val="605E5C"/>
      <w:shd w:val="clear" w:color="auto" w:fill="E1DFDD"/>
    </w:rPr>
  </w:style>
  <w:style w:type="character" w:customStyle="1" w:styleId="689">
    <w:name w:val="未处理的提及189"/>
    <w:basedOn w:val="10"/>
    <w:rPr>
      <w:color w:val="605E5C"/>
      <w:shd w:val="clear" w:color="auto" w:fill="E1DFDD"/>
    </w:rPr>
  </w:style>
  <w:style w:type="character" w:customStyle="1" w:styleId="690">
    <w:name w:val="Unresolved Mention"/>
    <w:basedOn w:val="10"/>
    <w:rPr>
      <w:color w:val="605E5C"/>
      <w:shd w:val="clear" w:color="auto" w:fill="E1DFDD"/>
    </w:rPr>
  </w:style>
  <w:style w:type="paragraph" w:customStyle="1" w:styleId="691">
    <w:name w:val="xl72"/>
    <w:basedOn w:val="0"/>
    <w:pPr>
      <w:widowControl/>
      <w:spacing w:before="100" w:beforeAutospacing="1" w:after="100" w:afterAutospacing="1"/>
      <w:jc w:val="left"/>
    </w:pPr>
    <w:rPr>
      <w:rFonts w:ascii="方正仿宋简体" w:eastAsia="方正仿宋简体" w:cs="宋体" w:hAnsi="宋体"/>
      <w:kern w:val="0"/>
      <w:sz w:val="24"/>
    </w:rPr>
  </w:style>
  <w:style w:type="paragraph" w:customStyle="1" w:styleId="692">
    <w:name w:val="xl73"/>
    <w:basedOn w:val="0"/>
    <w:pPr>
      <w:widowControl/>
      <w:spacing w:before="100" w:beforeAutospacing="1" w:after="100" w:afterAutospacing="1"/>
      <w:jc w:val="left"/>
    </w:pPr>
    <w:rPr>
      <w:rFonts w:ascii="宋体" w:cs="宋体" w:hAnsi="宋体"/>
      <w:kern w:val="0"/>
      <w:sz w:val="24"/>
    </w:rPr>
  </w:style>
  <w:style w:type="paragraph" w:styleId="693">
    <w:name w:val="toc 2"/>
    <w:basedOn w:val="0"/>
    <w:autoRedefine/>
    <w:next w:val="0"/>
    <w:pPr>
      <w:spacing w:after="160" w:line="278" w:lineRule="auto"/>
      <w:ind w:leftChars="200" w:left="200"/>
      <w:jc w:val="left"/>
    </w:pPr>
    <w:rPr>
      <w:rFonts w:ascii="等线" w:eastAsia="等线" w:cs="Arial" w:hAnsi="等线"/>
      <w:sz w:val="22"/>
    </w:rPr>
  </w:style>
  <w:style w:type="paragraph" w:styleId="694">
    <w:name w:val="toc 4"/>
    <w:basedOn w:val="0"/>
    <w:autoRedefine/>
    <w:next w:val="0"/>
    <w:pPr>
      <w:spacing w:after="160" w:line="278" w:lineRule="auto"/>
      <w:ind w:leftChars="600" w:left="600"/>
      <w:jc w:val="left"/>
    </w:pPr>
    <w:rPr>
      <w:rFonts w:ascii="等线" w:eastAsia="等线" w:cs="Arial" w:hAnsi="等线"/>
      <w:sz w:val="22"/>
    </w:rPr>
  </w:style>
  <w:style w:type="paragraph" w:styleId="695">
    <w:name w:val="toc 5"/>
    <w:basedOn w:val="0"/>
    <w:autoRedefine/>
    <w:next w:val="0"/>
    <w:pPr>
      <w:spacing w:after="160" w:line="278" w:lineRule="auto"/>
      <w:ind w:leftChars="800" w:left="800"/>
      <w:jc w:val="left"/>
    </w:pPr>
    <w:rPr>
      <w:rFonts w:ascii="等线" w:eastAsia="等线" w:cs="Arial" w:hAnsi="等线"/>
      <w:sz w:val="22"/>
    </w:rPr>
  </w:style>
  <w:style w:type="paragraph" w:styleId="696">
    <w:name w:val="toc 6"/>
    <w:basedOn w:val="0"/>
    <w:autoRedefine/>
    <w:next w:val="0"/>
    <w:pPr>
      <w:spacing w:after="160" w:line="278" w:lineRule="auto"/>
      <w:ind w:leftChars="1000" w:left="1000"/>
      <w:jc w:val="left"/>
    </w:pPr>
    <w:rPr>
      <w:rFonts w:ascii="等线" w:eastAsia="等线" w:cs="Arial" w:hAnsi="等线"/>
      <w:sz w:val="22"/>
    </w:rPr>
  </w:style>
  <w:style w:type="paragraph" w:styleId="697">
    <w:name w:val="toc 7"/>
    <w:basedOn w:val="0"/>
    <w:autoRedefine/>
    <w:next w:val="0"/>
    <w:pPr>
      <w:spacing w:after="160" w:line="278" w:lineRule="auto"/>
      <w:ind w:leftChars="1200" w:left="1200"/>
      <w:jc w:val="left"/>
    </w:pPr>
    <w:rPr>
      <w:rFonts w:ascii="等线" w:eastAsia="等线" w:cs="Arial" w:hAnsi="等线"/>
      <w:sz w:val="22"/>
    </w:rPr>
  </w:style>
  <w:style w:type="paragraph" w:styleId="698">
    <w:name w:val="toc 8"/>
    <w:basedOn w:val="0"/>
    <w:autoRedefine/>
    <w:next w:val="0"/>
    <w:pPr>
      <w:spacing w:after="160" w:line="278" w:lineRule="auto"/>
      <w:ind w:leftChars="1400" w:left="1400"/>
      <w:jc w:val="left"/>
    </w:pPr>
    <w:rPr>
      <w:rFonts w:ascii="等线" w:eastAsia="等线" w:cs="Arial" w:hAnsi="等线"/>
      <w:sz w:val="22"/>
    </w:rPr>
  </w:style>
  <w:style w:type="paragraph" w:styleId="699">
    <w:name w:val="toc 9"/>
    <w:basedOn w:val="0"/>
    <w:autoRedefine/>
    <w:next w:val="0"/>
    <w:pPr>
      <w:spacing w:after="160" w:line="278" w:lineRule="auto"/>
      <w:ind w:leftChars="1600" w:left="1600"/>
      <w:jc w:val="left"/>
    </w:pPr>
    <w:rPr>
      <w:rFonts w:ascii="等线" w:eastAsia="等线" w:cs="Arial" w:hAnsi="等线"/>
      <w:sz w:val="22"/>
    </w:rPr>
  </w:style>
  <w:style w:type="paragraph" w:customStyle="1" w:styleId="787">
    <w:name w:val="样式 三号"/>
    <w:basedOn w:val="0"/>
    <w:pPr>
      <w:widowControl w:val="0"/>
      <w:tabs>
        <w:tab w:val="left" w:pos="630"/>
        <w:tab w:val="right" w:leader="dot" w:pos="8608"/>
      </w:tabs>
      <w:spacing w:before="120" w:after="120"/>
      <w:ind w:leftChars="134" w:left="136" w:hanging="2"/>
      <w:jc w:val="left"/>
    </w:pPr>
    <w:rPr>
      <w:rFonts w:ascii="方正仿宋_GBK" w:eastAsia="方正仿宋_GBK" w:cs="Times New Roman" w:hAnsi="Times New Roman"/>
      <w:b/>
      <w:bCs/>
      <w:caps/>
      <w:smallCaps w:val="0"/>
      <w:color w:val="000000"/>
      <w:kern w:val="2"/>
      <w:sz w:val="32"/>
      <w:szCs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AF9DCB5E-EA1F-44EC-93CB-6CCC326DC624}">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21978</TotalTime>
  <Application>Yozo_Office27021597764231179</Application>
  <Pages>43</Pages>
  <Words>0</Words>
  <Characters>21335</Characters>
  <Lines>0</Lines>
  <Paragraphs>223</Paragraphs>
  <CharactersWithSpaces>28447</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qwerq</dc:creator>
  <cp:lastModifiedBy>zhao_sha1</cp:lastModifiedBy>
  <cp:revision>2409</cp:revision>
  <cp:lastPrinted>2020-01-08T15:36:00Z</cp:lastPrinted>
  <dcterms:created xsi:type="dcterms:W3CDTF">2024-09-26T03:06:00Z</dcterms:created>
  <dcterms:modified xsi:type="dcterms:W3CDTF">2026-09-15T07:29:33Z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2052-11.3.1</vt:lpwstr>
  </property>
</Properties>
</file>