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0" w:lineRule="atLeast"/>
        <w:jc w:val="center"/>
        <w:rPr>
          <w:rFonts w:ascii="方正小标宋_GBK" w:eastAsia="方正小标宋_GBK"/>
          <w:sz w:val="36"/>
          <w:szCs w:val="36"/>
        </w:rPr>
      </w:pPr>
    </w:p>
    <w:p>
      <w:pPr>
        <w:spacing w:line="0" w:lineRule="atLeas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海关</w:t>
      </w:r>
      <w:r>
        <w:rPr>
          <w:rFonts w:eastAsia="方正小标宋_GBK"/>
          <w:sz w:val="44"/>
          <w:szCs w:val="44"/>
        </w:rPr>
        <w:t>政务服务</w:t>
      </w:r>
      <w:r>
        <w:rPr>
          <w:rFonts w:eastAsia="方正小标宋_GBK" w:hint="eastAsia"/>
          <w:sz w:val="44"/>
          <w:szCs w:val="44"/>
        </w:rPr>
        <w:t>事项</w:t>
      </w:r>
      <w:r>
        <w:rPr>
          <w:rFonts w:eastAsia="方正小标宋_GBK"/>
          <w:sz w:val="44"/>
          <w:szCs w:val="44"/>
        </w:rPr>
        <w:t>办事</w:t>
      </w:r>
      <w:r>
        <w:rPr>
          <w:rFonts w:eastAsia="方正小标宋_GBK" w:hint="eastAsia"/>
          <w:sz w:val="44"/>
          <w:szCs w:val="44"/>
        </w:rPr>
        <w:t>指南</w:t>
      </w:r>
    </w:p>
    <w:p>
      <w:pPr>
        <w:spacing w:line="0" w:lineRule="atLeast"/>
        <w:jc w:val="center"/>
        <w:rPr>
          <w:rFonts w:eastAsia="方正小标宋_GBK"/>
          <w:sz w:val="44"/>
          <w:szCs w:val="44"/>
        </w:rPr>
      </w:pPr>
      <w:r>
        <w:rPr>
          <w:rFonts w:ascii="方正楷体_GBK" w:eastAsia="方正楷体_GBK" w:hint="eastAsia"/>
          <w:sz w:val="32"/>
          <w:szCs w:val="32"/>
        </w:rPr>
        <w:t>（000129013000）</w:t>
      </w:r>
    </w:p>
    <w:p>
      <w:pPr>
        <w:spacing w:line="0" w:lineRule="atLeast"/>
        <w:jc w:val="center"/>
        <w:rPr>
          <w:rFonts w:eastAsia="方正小标宋_GBK"/>
          <w:sz w:val="32"/>
          <w:szCs w:val="32"/>
        </w:rPr>
      </w:pPr>
      <w:r>
        <w:rPr>
          <w:rFonts w:eastAsia="方正小标宋_GBK" w:hint="eastAsia"/>
          <w:sz w:val="32"/>
          <w:szCs w:val="32"/>
        </w:rPr>
        <w:t>“特殊物品出入境卫生检疫审批”政务服务事项办事指南”</w:t>
      </w:r>
    </w:p>
    <w:p>
      <w:pPr>
        <w:spacing w:line="0" w:lineRule="atLeast"/>
        <w:ind w:firstLineChars="200" w:firstLine="640"/>
        <w:rPr>
          <w:rFonts w:eastAsia="方正黑体_GBK"/>
          <w:sz w:val="32"/>
          <w:szCs w:val="32"/>
        </w:rPr>
      </w:pPr>
    </w:p>
    <w:p>
      <w:pPr>
        <w:pStyle w:val="20"/>
        <w:spacing w:line="0" w:lineRule="atLeast"/>
        <w:ind w:firstLineChars="200" w:firstLine="64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一、事项名称：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特殊物品出入境卫生检疫</w:t>
      </w:r>
    </w:p>
    <w:p>
      <w:pPr>
        <w:pStyle w:val="20"/>
        <w:spacing w:line="0" w:lineRule="atLeast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二、事项类型：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行政许可</w:t>
      </w:r>
    </w:p>
    <w:p>
      <w:pPr>
        <w:pStyle w:val="20"/>
        <w:spacing w:line="0" w:lineRule="atLeast"/>
        <w:rPr>
          <w:rFonts w:ascii="方正黑体_GBK" w:eastAsia="方正黑体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三、设定依据：</w:t>
      </w:r>
    </w:p>
    <w:p>
      <w:pPr>
        <w:pStyle w:val="20"/>
        <w:spacing w:line="0" w:lineRule="atLeast"/>
        <w:rPr>
          <w:rFonts w:ascii="方正仿宋_GBK" w:eastAsia="方正仿宋_GBK" w:cs="Arial" w:hint="eastAsia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（一）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</w:rPr>
        <w:t>《中华人民共和国国境卫生检疫法实施细则》</w:t>
      </w:r>
    </w:p>
    <w:p>
      <w:pPr>
        <w:pStyle w:val="20"/>
        <w:spacing w:line="0" w:lineRule="atLeast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第十一条  入境、出境的微生物、人体组织、生物制品、血液及其制品等特殊物品的携带人、托运人或者邮递人，必须向卫生检疫机关申报并接受卫生检疫，凭卫生检疫机关签发的特殊物品审批单办理通关手续。未经卫生检疫机关许可，不准入境、出境。</w:t>
      </w:r>
    </w:p>
    <w:p>
      <w:pPr>
        <w:pStyle w:val="20"/>
        <w:spacing w:line="0" w:lineRule="atLeast"/>
        <w:ind w:firstLineChars="200" w:firstLine="640"/>
        <w:rPr>
          <w:rFonts w:ascii="方正仿宋_GBK" w:eastAsia="方正仿宋_GBK" w:cs="Arial" w:hint="eastAsia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  <w:bdr w:val="none" w:sz="0" w:space="0" w:color="auto"/>
        </w:rPr>
        <w:t>（二）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bdr w:val="none" w:sz="0" w:space="0" w:color="auto"/>
        </w:rPr>
        <w:t>《中华人民共</w:t>
      </w:r>
      <w:bookmarkStart w:id="0" w:name="_GoBack"/>
      <w:bookmarkEnd w:id="0"/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bdr w:val="none" w:sz="0" w:space="0" w:color="auto"/>
        </w:rPr>
        <w:t>和国海关进出境特殊货物物品卫生检疫管理规定》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（海关总署令第281号）</w:t>
      </w:r>
    </w:p>
    <w:p>
      <w:pPr>
        <w:pStyle w:val="20"/>
        <w:spacing w:line="0" w:lineRule="atLeast"/>
        <w:rPr>
          <w:rFonts w:ascii="方正仿宋_GBK" w:eastAsia="方正仿宋_GBK" w:cs="Arial" w:hint="eastAsia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仿宋_GBK" w:eastAsia="方正仿宋_GBK" w:cs="Arial" w:hint="eastAsia"/>
          <w:color w:val="222222"/>
          <w:sz w:val="32"/>
          <w:szCs w:val="32"/>
          <w:bdr w:val="none" w:sz="0" w:space="0" w:color="auto"/>
        </w:rPr>
        <w:t>第七条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  </w:t>
      </w:r>
      <w:r>
        <w:rPr>
          <w:rFonts w:ascii="方正仿宋_GBK" w:eastAsia="方正仿宋_GBK" w:cs="Arial" w:hint="eastAsia"/>
          <w:color w:val="222222"/>
          <w:sz w:val="32"/>
          <w:szCs w:val="32"/>
          <w:bdr w:val="none" w:sz="0" w:space="0" w:color="auto"/>
        </w:rPr>
        <w:t>直属海关负责辖区内进出境特殊货物、物品卫生检疫审批（以下简称特殊货物、物品审批）工作。</w:t>
      </w:r>
    </w:p>
    <w:p>
      <w:pPr>
        <w:pStyle w:val="20"/>
        <w:spacing w:line="0" w:lineRule="atLeast"/>
        <w:ind w:firstLine="63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四、实施机构：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各直属海关</w:t>
      </w:r>
    </w:p>
    <w:p>
      <w:pPr>
        <w:pStyle w:val="20"/>
        <w:spacing w:line="0" w:lineRule="atLeast"/>
        <w:ind w:firstLineChars="200" w:firstLine="64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五、法定办结时限：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自出具《受理决定书》起20个工作日。20个工作日内不能作出决定的，经本行政机关负责人批准，延长10个工作日。专家资料审核、现场评估、实验室检测等时间不纳入法定办结时限。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六、承诺办结时限：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自受理之日起20个工作日内做出是否准予许可的决定。20个工作日内不能作出决定的，经本行政机关负责人批准，延长10个工作日。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七、结果名称：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《入/出境特殊物品卫生检疫审批单》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八、结果样本：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见附件1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　九、收费标准：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不收费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十、收费依据：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无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十一、申请条件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：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（一）法律法规规定须获得相关部门批准文件的，应当获得相应批准文件；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（二）具备与出入境特殊物品相适应的生物安全控制能力。</w:t>
      </w:r>
    </w:p>
    <w:p>
      <w:pPr>
        <w:pStyle w:val="20"/>
        <w:spacing w:line="480" w:lineRule="auto"/>
        <w:ind w:firstLine="63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十二、申请材料：</w:t>
      </w:r>
      <w:r>
        <w:rPr>
          <w:rFonts w:ascii="方正仿宋_GBK" w:eastAsia="方正仿宋_GBK" w:hint="eastAsia"/>
          <w:sz w:val="32"/>
          <w:szCs w:val="32"/>
        </w:rPr>
        <w:t>(见附件</w:t>
      </w:r>
      <w:r>
        <w:rPr>
          <w:rFonts w:ascii="方正仿宋_GBK" w:eastAsia="方正仿宋_GBK" w:hint="eastAsia"/>
          <w:sz w:val="32"/>
          <w:szCs w:val="32"/>
          <w:lang w:val="en-US" w:eastAsia="zh-CN"/>
        </w:rPr>
        <w:t>8</w:t>
      </w:r>
      <w:r>
        <w:rPr>
          <w:rFonts w:ascii="方正仿宋_GBK" w:eastAsia="方正仿宋_GBK" w:hint="eastAsia"/>
          <w:sz w:val="32"/>
          <w:szCs w:val="32"/>
        </w:rPr>
        <w:t>)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 xml:space="preserve">    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（一）申请特殊物品审批的，货主或者其代理人应当按照以下规定提供相应材料：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1.《入/出境特殊物品卫生检疫审批申请表》（附件2、3</w:t>
      </w:r>
      <w:r>
        <w:rPr>
          <w:rFonts w:ascii="方正仿宋_GBK" w:eastAsia="方正仿宋_GBK" w:cs="Arial"/>
          <w:color w:val="222222"/>
          <w:sz w:val="32"/>
          <w:szCs w:val="32"/>
        </w:rPr>
        <w:t>,原件，电子或纸质1份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2.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出入境特殊物品描述性材料，包括特殊物品中英文名称、类别、成分、来源、用途、主要销售渠道、输出输入的国家或者地区、生产商等</w:t>
      </w:r>
      <w:r>
        <w:rPr>
          <w:rFonts w:ascii="方正仿宋_GBK" w:eastAsia="方正仿宋_GBK" w:cs="Arial"/>
          <w:color w:val="222222"/>
          <w:sz w:val="32"/>
          <w:szCs w:val="32"/>
        </w:rPr>
        <w:t>（原件，复印件或纸质1份）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3.入境、出境特殊物品含有或者可能含有病原微生物的，应当提供病原微生物的学名（中文和拉丁文）、生物学特性的说明性文件（中英文对照件）以及生产经营者或者使用者具备相应生物安全防控水平的证明文件（附件</w:t>
      </w: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>4</w:t>
      </w:r>
      <w:r>
        <w:rPr>
          <w:rFonts w:ascii="方正仿宋_GBK" w:eastAsia="方正仿宋_GBK" w:cs="Arial"/>
          <w:color w:val="222222"/>
          <w:sz w:val="32"/>
          <w:szCs w:val="32"/>
          <w:lang w:val="en-US" w:eastAsia="zh-CN"/>
        </w:rPr>
        <w:t>，复印件，电子或纸质1份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4.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应当取得人类遗传资源管理部门出具的批准文件（附件</w:t>
      </w: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>5</w:t>
      </w:r>
      <w:r>
        <w:rPr>
          <w:rFonts w:ascii="方正仿宋_GBK" w:eastAsia="方正仿宋_GBK" w:cs="Arial"/>
          <w:color w:val="222222"/>
          <w:sz w:val="32"/>
          <w:szCs w:val="32"/>
          <w:lang w:val="en-US" w:eastAsia="zh-CN"/>
        </w:rPr>
        <w:t>，原件，电子或纸质1份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），海关对有关批准文件电子数据进行系统自动比对验核；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5.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使用含有或者可能含有病原微生物的出入境特殊物品的单位，应当提供与生物安全风险等级相适应的生物安全实验室资质证明（附件</w:t>
      </w: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>6</w:t>
      </w:r>
      <w:r>
        <w:rPr>
          <w:rFonts w:ascii="方正仿宋_GBK" w:eastAsia="方正仿宋_GBK" w:cs="Arial"/>
          <w:color w:val="222222"/>
          <w:sz w:val="32"/>
          <w:szCs w:val="32"/>
          <w:lang w:val="en-US" w:eastAsia="zh-CN"/>
        </w:rPr>
        <w:t>，原件，电子或纸质1份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），BSL-3级以上实验室必须获得国家认可机构的认可；</w:t>
      </w:r>
    </w:p>
    <w:p>
      <w:pPr>
        <w:pStyle w:val="20"/>
        <w:spacing w:line="480" w:lineRule="auto"/>
        <w:rPr>
          <w:rFonts w:ascii="方正仿宋_GBK" w:eastAsia="方正仿宋_GBK" w:cs="Arial" w:hint="eastAsia"/>
          <w:color w:val="222222"/>
          <w:sz w:val="32"/>
          <w:szCs w:val="32"/>
          <w:lang w:eastAsia="zh-CN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6.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出入境高致病性病原微生物菌（毒）种或者样本的，应当提供省级以上人民政府卫生主管部门的批准文件（附件</w:t>
      </w: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>7</w:t>
      </w:r>
      <w:r>
        <w:rPr>
          <w:rFonts w:ascii="方正仿宋_GBK" w:eastAsia="方正仿宋_GBK" w:cs="Arial"/>
          <w:color w:val="222222"/>
          <w:sz w:val="32"/>
          <w:szCs w:val="32"/>
          <w:lang w:val="en-US" w:eastAsia="zh-CN"/>
        </w:rPr>
        <w:t>，原件，电子或纸质1份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</w:t>
      </w:r>
      <w:r>
        <w:rPr>
          <w:rFonts w:ascii="方正仿宋_GBK" w:eastAsia="方正仿宋_GBK" w:cs="Arial" w:hint="eastAsia"/>
          <w:color w:val="222222"/>
          <w:sz w:val="32"/>
          <w:szCs w:val="32"/>
          <w:lang w:eastAsia="zh-CN"/>
        </w:rPr>
        <w:t>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二）申请人为单位的，首次申请特殊物品审批时，除提供本指南第（一）项所规定的材料以外，还应当提供单位基本情况，如单位管理体系认证情况、单位地址、生产场所、实验室设置、仓储设施设备、产品加工情况、生产过程或者工艺流程、平面图等</w:t>
      </w:r>
      <w:r>
        <w:rPr>
          <w:rFonts w:ascii="方正仿宋_GBK" w:eastAsia="方正仿宋_GBK" w:cs="Arial"/>
          <w:color w:val="222222"/>
          <w:sz w:val="32"/>
          <w:szCs w:val="32"/>
        </w:rPr>
        <w:t>（复印件，电子或纸质1份）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申请人为自然人的，应当提供身份证复印件</w:t>
      </w:r>
      <w:r>
        <w:rPr>
          <w:rFonts w:ascii="方正仿宋_GBK" w:eastAsia="方正仿宋_GBK" w:cs="Arial"/>
          <w:color w:val="222222"/>
          <w:sz w:val="32"/>
          <w:szCs w:val="32"/>
        </w:rPr>
        <w:t>（电子或纸质1份）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。出入境病原微生物或者可能含有病原微生物的特殊物品，其申请人不得为自然人。</w:t>
      </w:r>
    </w:p>
    <w:p>
      <w:pPr>
        <w:pStyle w:val="20"/>
        <w:spacing w:line="480" w:lineRule="auto"/>
        <w:ind w:firstLine="630"/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十三、办理流程：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（流程图见附件</w:t>
      </w:r>
      <w:r>
        <w:rPr>
          <w:rFonts w:ascii="方正仿宋_GBK" w:eastAsia="方正仿宋_GBK" w:cs="Arial" w:hint="eastAsia"/>
          <w:color w:val="222222"/>
          <w:sz w:val="32"/>
          <w:szCs w:val="32"/>
          <w:lang w:val="en-US" w:eastAsia="zh-CN"/>
        </w:rPr>
        <w:t>9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</w:t>
      </w:r>
    </w:p>
    <w:p>
      <w:pPr>
        <w:pStyle w:val="20"/>
        <w:spacing w:line="480" w:lineRule="auto"/>
        <w:ind w:firstLine="63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申请 → 受理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→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初审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→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复核和决定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→</w:t>
      </w:r>
      <w:r>
        <w:rPr>
          <w:rFonts w:ascii="Arial" w:eastAsia="方正仿宋_GBK" w:cs="Arial" w:hAnsi="Arial" w:hint="eastAsia"/>
          <w:color w:val="222222"/>
          <w:sz w:val="32"/>
          <w:szCs w:val="32"/>
        </w:rPr>
        <w:t> 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办结</w:t>
      </w:r>
      <w:r>
        <w:rPr>
          <w:rStyle w:val="21"/>
          <w:rFonts w:ascii="方正仿宋_GBK" w:eastAsia="方正仿宋_GBK" w:cs="Arial" w:hint="eastAsia"/>
          <w:color w:val="222222"/>
          <w:sz w:val="32"/>
          <w:szCs w:val="32"/>
        </w:rPr>
        <w:t>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　十四、办理形式：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海关行政审批一个窗口现场办理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或海关行政审批网上办理平台网上办理（网址: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http://pre.chinaport.gov.cn/car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)。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十五、到现场办理次数：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网上办理0次或现场办理1次。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十六、审查标准：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Style w:val="21"/>
          <w:rFonts w:ascii="方正仿宋_GBK" w:eastAsia="方正仿宋_GBK" w:cs="Arial" w:hint="eastAsia"/>
          <w:color w:val="222222"/>
          <w:sz w:val="32"/>
          <w:szCs w:val="32"/>
        </w:rPr>
        <w:t>（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一）申请表的内容是否如实、准确；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（二）上传的文件是否如实、清晰（证书、证明、备案及批准文件等必须是原件的扫描件或者加盖印章并签注“与原件核对无误”的复印件扫描件）；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（三）上传的文件是否符合要求（法律法规规定须获得相关部门批准文件的，应当获得相应批准文件）；</w:t>
      </w:r>
    </w:p>
    <w:p>
      <w:pPr>
        <w:pStyle w:val="20"/>
        <w:spacing w:line="480" w:lineRule="auto"/>
        <w:ind w:firstLine="640"/>
        <w:rPr>
          <w:rFonts w:ascii="方正仿宋_GBK" w:eastAsia="方正仿宋_GBK" w:cs="Arial" w:hint="eastAsia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（四）相关单位是否具备与出入境特殊物品相适应的生物安全控制能力。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十七、通办范围：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各直属海关关区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　　十八、预约办理：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否（可随时提交申请）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十九、网上支付：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否（不涉及）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二十、物流快递：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否（可以随时网上查询审批结果，并自行打印）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二十一、办理地点：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（一）网上办理：申请人登陆“</w:t>
      </w:r>
      <w:r>
        <w:rPr>
          <w:rFonts w:ascii="方正仿宋_GBK" w:eastAsia="方正仿宋_GBK" w:cs="Arial"/>
          <w:color w:val="222222"/>
          <w:sz w:val="32"/>
          <w:szCs w:val="32"/>
        </w:rPr>
        <w:t>海关政务服务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”一体化网上办事平台（网址：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</w:rPr>
        <w:t>http//online.customs.gov.cn/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）进入“行政审批”版块，选择“出入境特殊物品卫生检疫”功能，按要求网上填写申报单</w:t>
      </w:r>
      <w:r>
        <w:rPr>
          <w:rFonts w:eastAsia="方正仿宋_GBK"/>
          <w:bCs/>
          <w:sz w:val="32"/>
          <w:szCs w:val="32"/>
        </w:rPr>
        <w:t>；</w:t>
      </w:r>
      <w:r>
        <w:rPr>
          <w:rFonts w:eastAsia="方正仿宋_GBK" w:hint="eastAsia"/>
          <w:color w:val="000000"/>
          <w:sz w:val="32"/>
          <w:szCs w:val="32"/>
        </w:rPr>
        <w:t>或</w:t>
      </w:r>
      <w:r>
        <w:rPr>
          <w:rFonts w:eastAsia="方正仿宋_GBK" w:cs="宋体" w:hint="eastAsia"/>
          <w:bCs/>
          <w:color w:val="000000"/>
          <w:sz w:val="32"/>
          <w:szCs w:val="32"/>
          <w:lang w:bidi="ar-SA"/>
        </w:rPr>
        <w:t>通过互联网</w:t>
      </w:r>
      <w:r>
        <w:rPr>
          <w:rFonts w:eastAsia="方正仿宋_GBK" w:hint="eastAsia"/>
          <w:color w:val="000000"/>
          <w:sz w:val="32"/>
          <w:szCs w:val="32"/>
        </w:rPr>
        <w:t>登录中国国际贸易“单一窗口”（网址：</w:t>
      </w:r>
      <w:r>
        <w:rPr>
          <w:rFonts w:eastAsia="方正仿宋_GBK" w:hint="eastAsia"/>
          <w:sz w:val="32"/>
          <w:szCs w:val="32"/>
        </w:rPr>
        <w:t>www.singlewindow.cn）申</w:t>
      </w:r>
      <w:r>
        <w:rPr>
          <w:rFonts w:eastAsia="方正仿宋_GBK"/>
          <w:sz w:val="32"/>
          <w:szCs w:val="32"/>
        </w:rPr>
        <w:t>请。</w:t>
      </w:r>
    </w:p>
    <w:p>
      <w:pPr>
        <w:pStyle w:val="20"/>
        <w:spacing w:line="480" w:lineRule="auto"/>
        <w:ind w:firstLine="63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（二）现场办理：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</w:rPr>
        <w:t>青岛海关行政审批一个窗口</w:t>
      </w:r>
      <w:r>
        <w:rPr>
          <w:rFonts w:ascii="方正仿宋_GBK" w:eastAsia="方正仿宋_GBK" w:cs="Arial" w:hint="eastAsia"/>
          <w:b/>
          <w:color w:val="222222"/>
          <w:sz w:val="32"/>
          <w:szCs w:val="32"/>
          <w:shd w:val="clear" w:color="auto" w:fill="FFFFFF"/>
        </w:rPr>
        <w:t>。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</w:p>
    <w:p>
      <w:pPr>
        <w:pStyle w:val="20"/>
        <w:spacing w:line="480" w:lineRule="auto"/>
        <w:ind w:firstLine="630"/>
        <w:rPr>
          <w:rFonts w:ascii="方正黑体_GBK" w:eastAsia="方正黑体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二十二、办理时间：</w:t>
      </w:r>
    </w:p>
    <w:p>
      <w:pPr>
        <w:pStyle w:val="20"/>
        <w:spacing w:line="480" w:lineRule="auto"/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（一）现场办理时间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：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青岛海关行政审批受理场所办理时间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或拨打海关“12360”热线。</w:t>
      </w:r>
    </w:p>
    <w:p>
      <w:pPr>
        <w:pStyle w:val="20"/>
        <w:spacing w:line="480" w:lineRule="auto"/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</w:pP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　　（二）网上办理时间：</w:t>
      </w:r>
    </w:p>
    <w:p>
      <w:pPr>
        <w:pStyle w:val="20"/>
        <w:spacing w:line="480" w:lineRule="auto"/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</w:pP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　　1. 企业申请时间：24小时。</w:t>
      </w:r>
    </w:p>
    <w:p>
      <w:pPr>
        <w:pStyle w:val="20"/>
        <w:spacing w:line="480" w:lineRule="auto"/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</w:pP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　　2. 海关审核时间：周一至周五，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青岛海关工作时间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二十三、咨询电话：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青岛海关行政审批受理场所咨询电话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或拨打海关”12360“热线。</w:t>
      </w:r>
    </w:p>
    <w:p>
      <w:pPr>
        <w:pStyle w:val="2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二十四、监督电话：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青岛海关监督电话（</w:t>
      </w:r>
      <w:r>
        <w:rPr>
          <w:rStyle w:val="0"/>
          <w:rFonts w:ascii="方正仿宋_GBK" w:eastAsia="方正仿宋_GBK" w:cs="Arial" w:hint="eastAsia"/>
          <w:color w:val="222222"/>
          <w:kern w:val="0"/>
          <w:sz w:val="32"/>
          <w:szCs w:val="32"/>
          <w:shd w:val="clear" w:color="auto" w:fill="FFFFFF"/>
        </w:rPr>
        <w:t>违规举报0532-80886671</w:t>
      </w:r>
      <w:r>
        <w:rPr>
          <w:rFonts w:ascii="方正仿宋_GBK" w:eastAsia="方正仿宋_GBK" w:cs="Arial" w:hint="eastAsia"/>
          <w:color w:val="222222"/>
          <w:sz w:val="32"/>
          <w:szCs w:val="32"/>
          <w:shd w:val="clear" w:color="auto" w:fill="FFFFFF"/>
        </w:rPr>
        <w:t>）或拨打海关”12360“热线。</w:t>
      </w:r>
    </w:p>
    <w:p>
      <w:pPr>
        <w:pStyle w:val="20"/>
        <w:spacing w:line="0" w:lineRule="atLeast"/>
        <w:ind w:firstLine="630"/>
        <w:rPr>
          <w:rFonts w:ascii="方正仿宋_GBK" w:eastAsia="方正仿宋_GBK" w:cs="Arial"/>
          <w:color w:val="22222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800002BF" w:usb1="38CF7CFA" w:usb2="00000016" w:usb3="00000000" w:csb0="00040000" w:csb1="00000000"/>
  </w:font>
  <w:font w:name="方正黑体_GBK">
    <w:panose1 w:val="02010600010101010101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4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7"/>
    <w:basedOn w:val="0"/>
    <w:autoRedefine/>
    <w:next w:val="0"/>
    <w:pPr>
      <w:ind w:left="2520"/>
    </w:pPr>
  </w:style>
  <w:style w:type="paragraph" w:styleId="19">
    <w:name w:val="table of figures"/>
    <w:basedOn w:val="0"/>
    <w:next w:val="0"/>
  </w:style>
  <w:style w:type="paragraph" w:styleId="20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21">
    <w:name w:val="Strong"/>
    <w:basedOn w:val="10"/>
    <w:rPr>
      <w:b/>
      <w:bCs/>
    </w:rPr>
  </w:style>
  <w:style w:type="character" w:styleId="22">
    <w:name w:val="Hyperlink"/>
    <w:rPr>
      <w:color w:val="0000FF"/>
      <w:u w:val="single"/>
    </w:rPr>
  </w:style>
  <w:style w:type="character" w:customStyle="1" w:styleId="23">
    <w:name w:val="h-control-text-title1"/>
    <w:rPr>
      <w:rFonts w:ascii="宋体" w:eastAsia="宋体"/>
      <w:b/>
      <w:bCs/>
      <w:sz w:val="24"/>
      <w:szCs w:val="24"/>
      <w:shd w:val="clear" w:color="auto" w:fill="F5F5F5"/>
    </w:rPr>
  </w:style>
  <w:style w:type="paragraph" w:customStyle="1" w:styleId="24">
    <w:name w:val="样式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10 磅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10 磅15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8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9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0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1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7 10 磅"/>
    <w:pPr>
      <w:jc w:val="both"/>
    </w:pPr>
    <w:rPr>
      <w:rFonts w:ascii="Times New Roman" w:eastAsia="方正黑体_GBK" w:cs="Times New Roman" w:hAnsi="Times New Roman"/>
      <w:sz w:val="21"/>
      <w:szCs w:val="21"/>
      <w:lang w:val="en-US" w:eastAsia="zh-CN" w:bidi="ar-SA"/>
    </w:rPr>
  </w:style>
  <w:style w:type="character" w:styleId="34">
    <w:name w:val="FollowedHyperlink"/>
    <w:basedOn w:val="10"/>
    <w:rPr>
      <w:color w:val="800080"/>
      <w:u w:val="single"/>
    </w:rPr>
  </w:style>
  <w:style w:type="paragraph" w:styleId="35">
    <w:name w:val="annotation subject"/>
    <w:basedOn w:val="15"/>
    <w:next w:val="15"/>
    <w:rPr>
      <w:b/>
    </w:rPr>
  </w:style>
  <w:style w:type="paragraph" w:customStyle="1" w:styleId="36">
    <w:name w:val="样式 "/>
    <w:rPr>
      <w:rFonts w:ascii="Times New Roman" w:eastAsia="宋体" w:cs="Times New Roman" w:hAnsi="Times New Roman"/>
      <w:b/>
      <w:lang w:val="en-US" w:eastAsia="zh-CN" w:bidi="ar-SA"/>
    </w:rPr>
  </w:style>
  <w:style w:type="paragraph" w:customStyle="1" w:styleId="37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8">
    <w:name w:val="样式 1 "/>
    <w:rPr>
      <w:rFonts w:ascii="Times New Roman" w:eastAsia="宋体" w:cs="Times New Roman" w:hAnsi="Times New Roman"/>
      <w:b/>
      <w:lang w:val="en-US" w:eastAsia="zh-CN" w:bidi="ar-SA"/>
    </w:rPr>
  </w:style>
  <w:style w:type="paragraph" w:customStyle="1" w:styleId="39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0">
    <w:name w:val="样式 2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1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2">
    <w:name w:val="样式 3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3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styleId="92">
    <w:name w:val="List Continue"/>
    <w:basedOn w:val="0"/>
    <w:pPr>
      <w:spacing w:after="120"/>
      <w:ind w:left="420"/>
    </w:pPr>
  </w:style>
  <w:style w:type="paragraph" w:customStyle="1" w:styleId="142">
    <w:name w:val="样式 4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/>
      <w:kern w:val="2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308</TotalTime>
  <Application>Yozo_Office</Application>
  <Pages>6</Pages>
  <Words>1919</Words>
  <Characters>2054</Characters>
  <Lines>103</Lines>
  <Paragraphs>53</Paragraphs>
  <CharactersWithSpaces>2158</CharactersWithSpaces>
  <Company>IT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王晓凯</cp:lastModifiedBy>
  <cp:revision>3</cp:revision>
  <cp:lastPrinted>2022-02-10T06:56:00Z</cp:lastPrinted>
  <dcterms:created xsi:type="dcterms:W3CDTF">2022-02-10T06:53:00Z</dcterms:created>
  <dcterms:modified xsi:type="dcterms:W3CDTF">2026-09-15T01:16:40Z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eyJoZGlkIjoiY2RkY2JhOWJlMGU4MTdlNDJkNGU2ZDhjZjRlYjU4MTYiLCJ1c2VySWQiOiIyOTQ4MzEyNDUifQ==</vt:lpwstr>
  </property>
  <property fmtid="{D5CDD505-2E9C-101B-9397-08002B2CF9AE}" pid="3" name="KSOProductBuildVer">
    <vt:lpwstr>2052-12.1.0.21541</vt:lpwstr>
  </property>
  <property fmtid="{D5CDD505-2E9C-101B-9397-08002B2CF9AE}" pid="4" name="ICV">
    <vt:lpwstr>1A1C5A865FF64A1D87F0479EFC8D9DFC_12</vt:lpwstr>
  </property>
</Properties>
</file>