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val="0"/>
        <w:snapToGrid w:val="0"/>
        <w:spacing w:line="360" w:lineRule="auto"/>
        <w:rPr>
          <w:rFonts w:ascii="宋体"/>
          <w:color w:val="auto"/>
          <w:sz w:val="24"/>
          <w:highlight w:val="auto"/>
        </w:rPr>
      </w:pPr>
      <w:bookmarkStart w:id="0" w:name="_GoBack"/>
      <w:bookmarkEnd w:id="0"/>
    </w:p>
    <w:p>
      <w:pPr>
        <w:adjustRightInd w:val="0"/>
        <w:snapToGrid w:val="0"/>
        <w:spacing w:line="360" w:lineRule="auto"/>
        <w:ind w:firstLine="560"/>
        <w:rPr>
          <w:rFonts w:ascii="宋体"/>
          <w:b/>
          <w:color w:val="auto"/>
          <w:sz w:val="24"/>
          <w:u w:val="single"/>
          <w:highlight w:val="auto"/>
        </w:rPr>
      </w:pPr>
    </w:p>
    <w:p>
      <w:pPr>
        <w:jc w:val="center"/>
        <w:rPr>
          <w:rFonts w:ascii="宋体"/>
          <w:b/>
          <w:bCs/>
          <w:color w:val="auto"/>
          <w:sz w:val="44"/>
          <w:szCs w:val="44"/>
          <w:highlight w:val="auto"/>
        </w:rPr>
      </w:pPr>
    </w:p>
    <w:p>
      <w:pPr>
        <w:jc w:val="center"/>
        <w:rPr>
          <w:rFonts w:ascii="宋体" w:eastAsia="宋体" w:hint="eastAsia"/>
          <w:b/>
          <w:bCs/>
          <w:color w:val="auto"/>
          <w:sz w:val="44"/>
          <w:szCs w:val="44"/>
          <w:lang w:eastAsia="zh-CN"/>
          <w:highlight w:val="auto"/>
        </w:rPr>
      </w:pPr>
      <w:r>
        <w:rPr>
          <w:rFonts w:hint="eastAsia"/>
          <w:b/>
          <w:color w:val="auto"/>
          <w:sz w:val="44"/>
          <w:szCs w:val="44"/>
          <w:lang w:eastAsia="zh-CN"/>
          <w:highlight w:val="auto"/>
        </w:rPr>
        <w:t>嘉兴海关综合技术服务中心2025年实验室仪器设备更新项目（一）（第三次）</w:t>
      </w: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after="120" w:line="360" w:lineRule="auto"/>
        <w:jc w:val="center"/>
        <w:rPr>
          <w:rFonts w:ascii="宋体"/>
          <w:b/>
          <w:color w:val="auto"/>
          <w:sz w:val="84"/>
          <w:szCs w:val="84"/>
          <w:highlight w:val="auto"/>
        </w:rPr>
      </w:pPr>
      <w:r>
        <w:rPr>
          <w:rFonts w:ascii="宋体" w:hint="eastAsia"/>
          <w:b/>
          <w:color w:val="auto"/>
          <w:sz w:val="84"/>
          <w:szCs w:val="84"/>
          <w:highlight w:val="auto"/>
        </w:rPr>
        <w:t>招标文件</w:t>
      </w:r>
    </w:p>
    <w:p>
      <w:pPr>
        <w:adjustRightInd w:val="0"/>
        <w:snapToGrid w:val="0"/>
        <w:spacing w:line="360" w:lineRule="auto"/>
        <w:jc w:val="center"/>
        <w:rPr>
          <w:rFonts w:ascii="宋体" w:eastAsia="宋体" w:hint="eastAsia"/>
          <w:b/>
          <w:bCs/>
          <w:color w:val="auto"/>
          <w:sz w:val="28"/>
          <w:szCs w:val="28"/>
          <w:lang w:eastAsia="zh-CN"/>
          <w:highlight w:val="auto"/>
        </w:rPr>
      </w:pPr>
      <w:r>
        <w:rPr>
          <w:rFonts w:ascii="宋体" w:hint="eastAsia"/>
          <w:b/>
          <w:bCs/>
          <w:color w:val="auto"/>
          <w:sz w:val="28"/>
          <w:szCs w:val="28"/>
          <w:highlight w:val="auto"/>
        </w:rPr>
        <w:t>项目编号：</w:t>
      </w:r>
      <w:r>
        <w:rPr>
          <w:rFonts w:ascii="宋体" w:hint="eastAsia"/>
          <w:b/>
          <w:bCs/>
          <w:color w:val="auto"/>
          <w:sz w:val="28"/>
          <w:szCs w:val="28"/>
          <w:lang w:eastAsia="zh-CN"/>
          <w:highlight w:val="auto"/>
        </w:rPr>
        <w:t>大地-DDZX-JX（2025）第136号</w:t>
      </w: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34"/>
        <w:gridCol w:w="4698"/>
      </w:tblGrid>
      <w:tr>
        <w:trPr>
          <w:trHeight w:val="924"/>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采购人：</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bCs/>
                <w:color w:val="auto"/>
                <w:sz w:val="32"/>
                <w:szCs w:val="32"/>
                <w:highlight w:val="auto"/>
              </w:rPr>
              <w:t>嘉兴海关综合技术服务中心</w:t>
            </w:r>
          </w:p>
        </w:tc>
      </w:tr>
      <w:tr>
        <w:trPr>
          <w:trHeight w:val="776"/>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采购代理机构：</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大地工程咨询有限公司</w:t>
            </w:r>
          </w:p>
        </w:tc>
      </w:tr>
    </w:tbl>
    <w:p>
      <w:pPr>
        <w:adjustRightInd w:val="0"/>
        <w:snapToGrid w:val="0"/>
        <w:spacing w:after="120" w:line="360" w:lineRule="auto"/>
        <w:jc w:val="center"/>
        <w:rPr>
          <w:rFonts w:ascii="宋体"/>
          <w:b/>
          <w:color w:val="auto"/>
          <w:sz w:val="32"/>
          <w:szCs w:val="32"/>
          <w:highlight w:val="auto"/>
        </w:rPr>
      </w:pPr>
      <w:r>
        <w:rPr>
          <w:rFonts w:ascii="宋体" w:hint="eastAsia"/>
          <w:b/>
          <w:color w:val="auto"/>
          <w:sz w:val="32"/>
          <w:szCs w:val="32"/>
          <w:highlight w:val="auto"/>
        </w:rPr>
        <w:t>二〇二</w:t>
      </w:r>
      <w:r>
        <w:rPr>
          <w:rFonts w:ascii="宋体" w:hint="eastAsia"/>
          <w:b/>
          <w:color w:val="auto"/>
          <w:sz w:val="32"/>
          <w:szCs w:val="32"/>
          <w:lang w:val="en-US" w:eastAsia="zh-CN"/>
          <w:highlight w:val="auto"/>
        </w:rPr>
        <w:t>五</w:t>
      </w:r>
      <w:r>
        <w:rPr>
          <w:rFonts w:ascii="宋体" w:hint="eastAsia"/>
          <w:b/>
          <w:color w:val="auto"/>
          <w:sz w:val="32"/>
          <w:szCs w:val="32"/>
          <w:highlight w:val="auto"/>
        </w:rPr>
        <w:t>年</w:t>
      </w:r>
      <w:r>
        <w:rPr>
          <w:rFonts w:ascii="宋体" w:hint="eastAsia"/>
          <w:b/>
          <w:color w:val="auto"/>
          <w:sz w:val="32"/>
          <w:szCs w:val="32"/>
          <w:lang w:val="en-US" w:eastAsia="zh-CN"/>
          <w:highlight w:val="auto"/>
        </w:rPr>
        <w:t>十一</w:t>
      </w:r>
      <w:r>
        <w:rPr>
          <w:rFonts w:ascii="宋体" w:hint="eastAsia"/>
          <w:b/>
          <w:color w:val="auto"/>
          <w:sz w:val="32"/>
          <w:szCs w:val="32"/>
          <w:highlight w:val="auto"/>
        </w:rPr>
        <w:t>月</w:t>
      </w:r>
    </w:p>
    <w:p>
      <w:pPr>
        <w:adjustRightInd w:val="0"/>
        <w:snapToGrid w:val="0"/>
        <w:spacing w:after="120" w:line="360" w:lineRule="auto"/>
        <w:jc w:val="center"/>
        <w:rPr>
          <w:rFonts w:ascii="宋体"/>
          <w:b/>
          <w:color w:val="auto"/>
          <w:sz w:val="32"/>
          <w:szCs w:val="32"/>
          <w:u w:val="single"/>
          <w:highlight w:val="auto"/>
        </w:rPr>
      </w:pPr>
    </w:p>
    <w:p>
      <w:pPr>
        <w:tabs>
          <w:tab w:val="left" w:leader="middleDot" w:pos="8190"/>
        </w:tabs>
        <w:jc w:val="center"/>
        <w:rPr>
          <w:rFonts w:ascii="宋体"/>
          <w:b/>
          <w:color w:val="auto"/>
          <w:sz w:val="28"/>
          <w:szCs w:val="28"/>
          <w:highlight w:val="auto"/>
        </w:rPr>
        <w:sectPr>
          <w:footerReference w:type="default" r:id="rId2"/>
          <w:pgSz w:w="11906" w:h="16838"/>
          <w:pgMar w:top="1588" w:right="1701" w:bottom="1588" w:left="1701" w:header="851" w:footer="992" w:gutter="0"/>
          <w:docGrid w:type="linesAndChars" w:linePitch="380" w:charSpace="0"/>
        </w:sectPr>
      </w:pPr>
    </w:p>
    <w:p>
      <w:pPr>
        <w:tabs>
          <w:tab w:val="left" w:leader="middleDot" w:pos="8190"/>
        </w:tabs>
        <w:jc w:val="center"/>
        <w:rPr>
          <w:rFonts w:ascii="宋体"/>
          <w:b/>
          <w:color w:val="auto"/>
          <w:sz w:val="28"/>
          <w:szCs w:val="28"/>
          <w:highlight w:val="auto"/>
        </w:rPr>
      </w:pPr>
      <w:r>
        <w:rPr>
          <w:rFonts w:ascii="宋体" w:hint="eastAsia"/>
          <w:b/>
          <w:color w:val="auto"/>
          <w:sz w:val="28"/>
          <w:szCs w:val="28"/>
          <w:highlight w:val="auto"/>
        </w:rPr>
        <w:t>目录</w:t>
      </w:r>
    </w:p>
    <w:p>
      <w:pPr>
        <w:pStyle w:val="35"/>
        <w:tabs>
          <w:tab w:val="right" w:leader="dot" w:pos="8504"/>
        </w:tabs>
        <w:rPr>
          <w:color w:val="auto"/>
          <w:highlight w:val="auto"/>
        </w:rPr>
      </w:pPr>
      <w:r>
        <w:rPr>
          <w:rFonts w:ascii="宋体"/>
          <w:b w:val="0"/>
          <w:color w:val="auto"/>
          <w:sz w:val="30"/>
          <w:szCs w:val="30"/>
          <w:highlight w:val="auto"/>
        </w:rPr>
        <w:fldChar w:fldCharType="begin"/>
      </w:r>
      <w:r>
        <w:rPr>
          <w:rFonts w:ascii="宋体"/>
          <w:b w:val="0"/>
          <w:color w:val="auto"/>
          <w:sz w:val="30"/>
          <w:szCs w:val="30"/>
          <w:highlight w:val="auto"/>
        </w:rPr>
        <w:instrText xml:space="preserve"> TOC \o "1-3" \h \z \u </w:instrText>
      </w:r>
      <w:r>
        <w:rPr>
          <w:rFonts w:ascii="宋体"/>
          <w:b w:val="0"/>
          <w:color w:val="auto"/>
          <w:sz w:val="30"/>
          <w:szCs w:val="30"/>
          <w:highlight w:val="auto"/>
        </w:rPr>
        <w:fldChar w:fldCharType="separate"/>
      </w:r>
      <w:r>
        <w:rPr>
          <w:color w:val="auto"/>
          <w:highlight w:val="auto"/>
        </w:rPr>
        <w:fldChar w:fldCharType="begin"/>
      </w:r>
      <w:r>
        <w:rPr>
          <w:color w:val="auto"/>
          <w:highlight w:val="auto"/>
        </w:rPr>
        <w:instrText xml:space="preserve"> HYPERLINK \l "_Toc23985" </w:instrText>
      </w:r>
      <w:r>
        <w:rPr>
          <w:color w:val="auto"/>
          <w:highlight w:val="auto"/>
        </w:rPr>
        <w:fldChar w:fldCharType="separate"/>
      </w:r>
      <w:r>
        <w:rPr>
          <w:rFonts w:ascii="宋体" w:hint="eastAsia"/>
          <w:color w:val="auto"/>
          <w:szCs w:val="32"/>
          <w:highlight w:val="auto"/>
        </w:rPr>
        <w:t>第一章</w:t>
      </w:r>
      <w:r>
        <w:rPr>
          <w:rFonts w:ascii="宋体"/>
          <w:color w:val="auto"/>
          <w:szCs w:val="32"/>
          <w:highlight w:val="auto"/>
        </w:rPr>
        <w:t xml:space="preserve">  </w:t>
      </w:r>
      <w:r>
        <w:rPr>
          <w:rFonts w:ascii="宋体" w:hint="eastAsia"/>
          <w:color w:val="auto"/>
          <w:szCs w:val="32"/>
          <w:highlight w:val="auto"/>
        </w:rPr>
        <w:t>招标公告</w:t>
      </w:r>
      <w:r>
        <w:rPr>
          <w:color w:val="auto"/>
          <w:highlight w:val="auto"/>
        </w:rPr>
        <w:tab/>
      </w:r>
      <w:r>
        <w:rPr>
          <w:color w:val="auto"/>
          <w:highlight w:val="auto"/>
        </w:rPr>
        <w:fldChar w:fldCharType="begin"/>
      </w:r>
      <w:r>
        <w:rPr>
          <w:color w:val="auto"/>
          <w:highlight w:val="auto"/>
        </w:rPr>
        <w:instrText xml:space="preserve"> PAGEREF _Toc23985 \h </w:instrText>
      </w:r>
      <w:r>
        <w:rPr>
          <w:color w:val="auto"/>
          <w:highlight w:val="auto"/>
        </w:rPr>
        <w:fldChar w:fldCharType="separate"/>
      </w:r>
      <w:r>
        <w:rPr>
          <w:color w:val="auto"/>
          <w:highlight w:val="auto"/>
        </w:rPr>
        <w:t>3</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"_Toc8396" </w:instrText>
      </w:r>
      <w:r>
        <w:rPr>
          <w:color w:val="auto"/>
          <w:highlight w:val="auto"/>
        </w:rPr>
        <w:fldChar w:fldCharType="separate"/>
      </w:r>
      <w:r>
        <w:rPr>
          <w:rFonts w:ascii="宋体" w:hint="eastAsia"/>
          <w:color w:val="auto"/>
          <w:szCs w:val="32"/>
          <w:highlight w:val="auto"/>
        </w:rPr>
        <w:t>第二章</w:t>
      </w:r>
      <w:r>
        <w:rPr>
          <w:rFonts w:ascii="宋体"/>
          <w:color w:val="auto"/>
          <w:szCs w:val="32"/>
          <w:highlight w:val="auto"/>
        </w:rPr>
        <w:t xml:space="preserve">  </w:t>
      </w:r>
      <w:r>
        <w:rPr>
          <w:rFonts w:ascii="宋体" w:hint="eastAsia"/>
          <w:color w:val="auto"/>
          <w:szCs w:val="32"/>
          <w:highlight w:val="auto"/>
        </w:rPr>
        <w:t>投标人须知</w:t>
      </w:r>
      <w:r>
        <w:rPr>
          <w:color w:val="auto"/>
          <w:highlight w:val="auto"/>
        </w:rPr>
        <w:tab/>
      </w:r>
      <w:r>
        <w:rPr>
          <w:color w:val="auto"/>
          <w:highlight w:val="auto"/>
        </w:rPr>
        <w:fldChar w:fldCharType="begin"/>
      </w:r>
      <w:r>
        <w:rPr>
          <w:color w:val="auto"/>
          <w:highlight w:val="auto"/>
        </w:rPr>
        <w:instrText xml:space="preserve"> PAGEREF _Toc8396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"_Toc25811" </w:instrText>
      </w:r>
      <w:r>
        <w:rPr>
          <w:color w:val="auto"/>
          <w:highlight w:val="auto"/>
        </w:rPr>
        <w:fldChar w:fldCharType="separate"/>
      </w:r>
      <w:r>
        <w:rPr>
          <w:rFonts w:ascii="宋体" w:hint="eastAsia"/>
          <w:color w:val="auto"/>
          <w:szCs w:val="21"/>
          <w:highlight w:val="auto"/>
        </w:rPr>
        <w:t>投标人须知前附表</w:t>
      </w:r>
      <w:r>
        <w:rPr>
          <w:color w:val="auto"/>
          <w:highlight w:val="auto"/>
        </w:rPr>
        <w:tab/>
      </w:r>
      <w:r>
        <w:rPr>
          <w:color w:val="auto"/>
          <w:highlight w:val="auto"/>
        </w:rPr>
        <w:fldChar w:fldCharType="begin"/>
      </w:r>
      <w:r>
        <w:rPr>
          <w:color w:val="auto"/>
          <w:highlight w:val="auto"/>
        </w:rPr>
        <w:instrText xml:space="preserve"> PAGEREF _Toc25811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"_Toc17319" </w:instrText>
      </w:r>
      <w:r>
        <w:rPr>
          <w:color w:val="auto"/>
          <w:highlight w:val="auto"/>
        </w:rPr>
        <w:fldChar w:fldCharType="separate"/>
      </w:r>
      <w:r>
        <w:rPr>
          <w:rFonts w:ascii="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_Toc17319 \h </w:instrText>
      </w:r>
      <w:r>
        <w:rPr>
          <w:color w:val="auto"/>
          <w:highlight w:val="auto"/>
        </w:rPr>
        <w:fldChar w:fldCharType="separate"/>
      </w:r>
      <w:r>
        <w:rPr>
          <w:color w:val="auto"/>
          <w:highlight w:val="auto"/>
        </w:rPr>
        <w:t>12</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"_Toc28067" </w:instrText>
      </w:r>
      <w:r>
        <w:rPr>
          <w:color w:val="auto"/>
          <w:highlight w:val="auto"/>
        </w:rPr>
        <w:fldChar w:fldCharType="separate"/>
      </w:r>
      <w:r>
        <w:rPr>
          <w:rFonts w:ascii="宋体" w:hint="eastAsia"/>
          <w:snapToGrid w:val="0"/>
          <w:color w:val="auto"/>
          <w:szCs w:val="21"/>
          <w:highlight w:val="auto"/>
        </w:rPr>
        <w:t>二、采购文件</w:t>
      </w:r>
      <w:r>
        <w:rPr>
          <w:color w:val="auto"/>
          <w:highlight w:val="auto"/>
        </w:rPr>
        <w:tab/>
      </w:r>
      <w:r>
        <w:rPr>
          <w:color w:val="auto"/>
          <w:highlight w:val="auto"/>
        </w:rPr>
        <w:fldChar w:fldCharType="begin"/>
      </w:r>
      <w:r>
        <w:rPr>
          <w:color w:val="auto"/>
          <w:highlight w:val="auto"/>
        </w:rPr>
        <w:instrText xml:space="preserve"> PAGEREF _Toc28067 \h </w:instrText>
      </w:r>
      <w:r>
        <w:rPr>
          <w:color w:val="auto"/>
          <w:highlight w:val="auto"/>
        </w:rPr>
        <w:fldChar w:fldCharType="separate"/>
      </w:r>
      <w:r>
        <w:rPr>
          <w:color w:val="auto"/>
          <w:highlight w:val="auto"/>
        </w:rPr>
        <w:t>13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"_Toc1721" </w:instrText>
      </w:r>
      <w:r>
        <w:rPr>
          <w:color w:val="auto"/>
          <w:highlight w:val="auto"/>
        </w:rPr>
        <w:fldChar w:fldCharType="separate"/>
      </w:r>
      <w:r>
        <w:rPr>
          <w:rFonts w:ascii="宋体" w:hint="eastAsia"/>
          <w:snapToGrid w:val="0"/>
          <w:color w:val="auto"/>
          <w:szCs w:val="21"/>
          <w:highlight w:val="auto"/>
        </w:rPr>
        <w:t>三、投标文件的编制</w:t>
      </w:r>
      <w:r>
        <w:rPr>
          <w:color w:val="auto"/>
          <w:highlight w:val="auto"/>
        </w:rPr>
        <w:tab/>
      </w:r>
      <w:r>
        <w:rPr>
          <w:color w:val="auto"/>
          <w:highlight w:val="auto"/>
        </w:rPr>
        <w:fldChar w:fldCharType="begin"/>
      </w:r>
      <w:r>
        <w:rPr>
          <w:color w:val="auto"/>
          <w:highlight w:val="auto"/>
        </w:rPr>
        <w:instrText xml:space="preserve"> PAGEREF _Toc1721 \h </w:instrText>
      </w:r>
      <w:r>
        <w:rPr>
          <w:color w:val="auto"/>
          <w:highlight w:val="auto"/>
        </w:rPr>
        <w:fldChar w:fldCharType="separate"/>
      </w:r>
      <w:r>
        <w:rPr>
          <w:color w:val="auto"/>
          <w:highlight w:val="auto"/>
        </w:rPr>
        <w:t>14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"_Toc30477" </w:instrText>
      </w:r>
      <w:r>
        <w:rPr>
          <w:color w:val="auto"/>
          <w:highlight w:val="auto"/>
        </w:rPr>
        <w:fldChar w:fldCharType="separate"/>
      </w:r>
      <w:r>
        <w:rPr>
          <w:rFonts w:ascii="宋体" w:hint="eastAsia"/>
          <w:snapToGrid w:val="0"/>
          <w:color w:val="auto"/>
          <w:szCs w:val="21"/>
          <w:highlight w:val="auto"/>
        </w:rPr>
        <w:t>四、投标文件的递交</w:t>
      </w:r>
      <w:r>
        <w:rPr>
          <w:color w:val="auto"/>
          <w:highlight w:val="auto"/>
        </w:rPr>
        <w:tab/>
      </w:r>
      <w:r>
        <w:rPr>
          <w:color w:val="auto"/>
          <w:highlight w:val="auto"/>
        </w:rPr>
        <w:fldChar w:fldCharType="begin"/>
      </w:r>
      <w:r>
        <w:rPr>
          <w:color w:val="auto"/>
          <w:highlight w:val="auto"/>
        </w:rPr>
        <w:instrText xml:space="preserve"> PAGEREF _Toc30477 \h </w:instrText>
      </w:r>
      <w:r>
        <w:rPr>
          <w:color w:val="auto"/>
          <w:highlight w:val="auto"/>
        </w:rPr>
        <w:fldChar w:fldCharType="separate"/>
      </w:r>
      <w:r>
        <w:rPr>
          <w:color w:val="auto"/>
          <w:highlight w:val="auto"/>
        </w:rPr>
        <w:t>17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"_Toc12604" </w:instrText>
      </w:r>
      <w:r>
        <w:rPr>
          <w:color w:val="auto"/>
          <w:highlight w:val="auto"/>
        </w:rPr>
        <w:fldChar w:fldCharType="separate"/>
      </w:r>
      <w:r>
        <w:rPr>
          <w:rFonts w:ascii="宋体" w:hint="eastAsia"/>
          <w:snapToGrid w:val="0"/>
          <w:color w:val="auto"/>
          <w:szCs w:val="21"/>
          <w:highlight w:val="auto"/>
        </w:rPr>
        <w:t>五、开标与评标</w:t>
      </w:r>
      <w:r>
        <w:rPr>
          <w:color w:val="auto"/>
          <w:highlight w:val="auto"/>
        </w:rPr>
        <w:tab/>
      </w:r>
      <w:r>
        <w:rPr>
          <w:color w:val="auto"/>
          <w:highlight w:val="auto"/>
        </w:rPr>
        <w:fldChar w:fldCharType="begin"/>
      </w:r>
      <w:r>
        <w:rPr>
          <w:color w:val="auto"/>
          <w:highlight w:val="auto"/>
        </w:rPr>
        <w:instrText xml:space="preserve"> PAGEREF _Toc12604 \h </w:instrText>
      </w:r>
      <w:r>
        <w:rPr>
          <w:color w:val="auto"/>
          <w:highlight w:val="auto"/>
        </w:rPr>
        <w:fldChar w:fldCharType="separate"/>
      </w:r>
      <w:r>
        <w:rPr>
          <w:color w:val="auto"/>
          <w:highlight w:val="auto"/>
        </w:rPr>
        <w:t>20</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"_Toc26460" </w:instrText>
      </w:r>
      <w:r>
        <w:rPr>
          <w:color w:val="auto"/>
          <w:highlight w:val="auto"/>
        </w:rPr>
        <w:fldChar w:fldCharType="separate"/>
      </w:r>
      <w:r>
        <w:rPr>
          <w:rFonts w:ascii="宋体" w:hint="eastAsia"/>
          <w:snapToGrid w:val="0"/>
          <w:color w:val="auto"/>
          <w:szCs w:val="21"/>
          <w:highlight w:val="auto"/>
        </w:rPr>
        <w:t>六、确定中标人及授予合同</w:t>
      </w:r>
      <w:r>
        <w:rPr>
          <w:color w:val="auto"/>
          <w:highlight w:val="auto"/>
        </w:rPr>
        <w:tab/>
      </w:r>
      <w:r>
        <w:rPr>
          <w:color w:val="auto"/>
          <w:highlight w:val="auto"/>
        </w:rPr>
        <w:fldChar w:fldCharType="begin"/>
      </w:r>
      <w:r>
        <w:rPr>
          <w:color w:val="auto"/>
          <w:highlight w:val="auto"/>
        </w:rPr>
        <w:instrText xml:space="preserve"> PAGEREF _Toc26460 \h </w:instrText>
      </w:r>
      <w:r>
        <w:rPr>
          <w:color w:val="auto"/>
          <w:highlight w:val="auto"/>
        </w:rPr>
        <w:fldChar w:fldCharType="separate"/>
      </w:r>
      <w:r>
        <w:rPr>
          <w:color w:val="auto"/>
          <w:highlight w:val="auto"/>
        </w:rPr>
        <w:t>22</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"_Toc17509" </w:instrText>
      </w:r>
      <w:r>
        <w:rPr>
          <w:color w:val="auto"/>
          <w:highlight w:val="auto"/>
        </w:rPr>
        <w:fldChar w:fldCharType="separate"/>
      </w:r>
      <w:r>
        <w:rPr>
          <w:rFonts w:ascii="宋体" w:hint="eastAsia"/>
          <w:color w:val="auto"/>
          <w:szCs w:val="32"/>
          <w:highlight w:val="auto"/>
        </w:rPr>
        <w:t>第三章</w:t>
      </w:r>
      <w:r>
        <w:rPr>
          <w:rFonts w:ascii="宋体"/>
          <w:color w:val="auto"/>
          <w:szCs w:val="32"/>
          <w:highlight w:val="auto"/>
        </w:rPr>
        <w:t xml:space="preserve">  </w:t>
      </w:r>
      <w:r>
        <w:rPr>
          <w:rFonts w:ascii="宋体" w:hint="eastAsia"/>
          <w:color w:val="auto"/>
          <w:szCs w:val="32"/>
          <w:highlight w:val="auto"/>
        </w:rPr>
        <w:t>采购合同</w:t>
      </w:r>
      <w:r>
        <w:rPr>
          <w:color w:val="auto"/>
          <w:highlight w:val="auto"/>
        </w:rPr>
        <w:tab/>
      </w:r>
      <w:r>
        <w:rPr>
          <w:color w:val="auto"/>
          <w:highlight w:val="auto"/>
        </w:rPr>
        <w:fldChar w:fldCharType="begin"/>
      </w:r>
      <w:r>
        <w:rPr>
          <w:color w:val="auto"/>
          <w:highlight w:val="auto"/>
        </w:rPr>
        <w:instrText xml:space="preserve"> PAGEREF _Toc17509 \h </w:instrText>
      </w:r>
      <w:r>
        <w:rPr>
          <w:color w:val="auto"/>
          <w:highlight w:val="auto"/>
        </w:rPr>
        <w:fldChar w:fldCharType="separate"/>
      </w:r>
      <w:r>
        <w:rPr>
          <w:color w:val="auto"/>
          <w:highlight w:val="auto"/>
        </w:rPr>
        <w:t>25</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"_Toc25938" </w:instrText>
      </w:r>
      <w:r>
        <w:rPr>
          <w:color w:val="auto"/>
          <w:highlight w:val="auto"/>
        </w:rPr>
        <w:fldChar w:fldCharType="separate"/>
      </w:r>
      <w:r>
        <w:rPr>
          <w:rFonts w:ascii="宋体" w:hint="eastAsia"/>
          <w:color w:val="auto"/>
          <w:szCs w:val="32"/>
          <w:highlight w:val="auto"/>
        </w:rPr>
        <w:t>第四章</w:t>
      </w:r>
      <w:r>
        <w:rPr>
          <w:rFonts w:ascii="宋体"/>
          <w:color w:val="auto"/>
          <w:szCs w:val="32"/>
          <w:highlight w:val="auto"/>
        </w:rPr>
        <w:t xml:space="preserve">  </w:t>
      </w:r>
      <w:r>
        <w:rPr>
          <w:rFonts w:ascii="宋体" w:hint="eastAsia"/>
          <w:color w:val="auto"/>
          <w:szCs w:val="32"/>
          <w:lang w:eastAsia="zh-CN"/>
          <w:highlight w:val="auto"/>
        </w:rPr>
        <w:t>采购需求</w:t>
      </w:r>
      <w:r>
        <w:rPr>
          <w:color w:val="auto"/>
          <w:highlight w:val="auto"/>
        </w:rPr>
        <w:tab/>
      </w:r>
      <w:r>
        <w:rPr>
          <w:color w:val="auto"/>
          <w:highlight w:val="auto"/>
        </w:rPr>
        <w:fldChar w:fldCharType="begin"/>
      </w:r>
      <w:r>
        <w:rPr>
          <w:color w:val="auto"/>
          <w:highlight w:val="auto"/>
        </w:rPr>
        <w:instrText xml:space="preserve"> PAGEREF _Toc25938 \h </w:instrText>
      </w:r>
      <w:r>
        <w:rPr>
          <w:color w:val="auto"/>
          <w:highlight w:val="auto"/>
        </w:rPr>
        <w:fldChar w:fldCharType="separate"/>
      </w:r>
      <w:r>
        <w:rPr>
          <w:color w:val="auto"/>
          <w:highlight w:val="auto"/>
        </w:rPr>
        <w:t>32</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"_Toc21552" </w:instrText>
      </w:r>
      <w:r>
        <w:rPr>
          <w:color w:val="auto"/>
          <w:highlight w:val="auto"/>
        </w:rPr>
        <w:fldChar w:fldCharType="separate"/>
      </w:r>
      <w:r>
        <w:rPr>
          <w:rFonts w:ascii="宋体" w:hint="eastAsia"/>
          <w:color w:val="auto"/>
          <w:szCs w:val="32"/>
          <w:highlight w:val="auto"/>
        </w:rPr>
        <w:t>第五章</w:t>
      </w:r>
      <w:r>
        <w:rPr>
          <w:rFonts w:ascii="宋体"/>
          <w:color w:val="auto"/>
          <w:szCs w:val="32"/>
          <w:highlight w:val="auto"/>
        </w:rPr>
        <w:t xml:space="preserve">  </w:t>
      </w:r>
      <w:r>
        <w:rPr>
          <w:rFonts w:ascii="宋体" w:hint="eastAsia"/>
          <w:color w:val="auto"/>
          <w:szCs w:val="32"/>
          <w:highlight w:val="auto"/>
        </w:rPr>
        <w:t>评标办法</w:t>
      </w:r>
      <w:r>
        <w:rPr>
          <w:color w:val="auto"/>
          <w:highlight w:val="auto"/>
        </w:rPr>
        <w:tab/>
      </w:r>
      <w:r>
        <w:rPr>
          <w:color w:val="auto"/>
          <w:highlight w:val="auto"/>
        </w:rPr>
        <w:fldChar w:fldCharType="begin"/>
      </w:r>
      <w:r>
        <w:rPr>
          <w:color w:val="auto"/>
          <w:highlight w:val="auto"/>
        </w:rPr>
        <w:instrText xml:space="preserve"> PAGEREF _Toc21552 \h </w:instrText>
      </w:r>
      <w:r>
        <w:rPr>
          <w:color w:val="auto"/>
          <w:highlight w:val="auto"/>
        </w:rPr>
        <w:fldChar w:fldCharType="separate"/>
      </w:r>
      <w:r>
        <w:rPr>
          <w:color w:val="auto"/>
          <w:highlight w:val="auto"/>
        </w:rPr>
        <w:t>46</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"_Toc8998" </w:instrText>
      </w:r>
      <w:r>
        <w:rPr>
          <w:color w:val="auto"/>
          <w:highlight w:val="auto"/>
        </w:rPr>
        <w:fldChar w:fldCharType="separate"/>
      </w:r>
      <w:r>
        <w:rPr>
          <w:rFonts w:ascii="宋体" w:cs="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_Toc8998 \h </w:instrText>
      </w:r>
      <w:r>
        <w:rPr>
          <w:color w:val="auto"/>
          <w:highlight w:val="auto"/>
        </w:rPr>
        <w:fldChar w:fldCharType="separate"/>
      </w:r>
      <w:r>
        <w:rPr>
          <w:color w:val="auto"/>
          <w:highlight w:val="auto"/>
        </w:rPr>
        <w:t>46</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"_Toc6463" </w:instrText>
      </w:r>
      <w:r>
        <w:rPr>
          <w:color w:val="auto"/>
          <w:highlight w:val="auto"/>
        </w:rPr>
        <w:fldChar w:fldCharType="separate"/>
      </w:r>
      <w:r>
        <w:rPr>
          <w:rFonts w:ascii="宋体" w:cs="宋体" w:hint="eastAsia"/>
          <w:snapToGrid w:val="0"/>
          <w:color w:val="auto"/>
          <w:szCs w:val="21"/>
          <w:highlight w:val="auto"/>
        </w:rPr>
        <w:t>二、评标组织</w:t>
      </w:r>
      <w:r>
        <w:rPr>
          <w:color w:val="auto"/>
          <w:highlight w:val="auto"/>
        </w:rPr>
        <w:tab/>
      </w:r>
      <w:r>
        <w:rPr>
          <w:color w:val="auto"/>
          <w:highlight w:val="auto"/>
        </w:rPr>
        <w:fldChar w:fldCharType="begin"/>
      </w:r>
      <w:r>
        <w:rPr>
          <w:color w:val="auto"/>
          <w:highlight w:val="auto"/>
        </w:rPr>
        <w:instrText xml:space="preserve"> PAGEREF _Toc6463 \h </w:instrText>
      </w:r>
      <w:r>
        <w:rPr>
          <w:color w:val="auto"/>
          <w:highlight w:val="auto"/>
        </w:rPr>
        <w:fldChar w:fldCharType="separate"/>
      </w:r>
      <w:r>
        <w:rPr>
          <w:color w:val="auto"/>
          <w:highlight w:val="auto"/>
        </w:rPr>
        <w:t>46</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"_Toc11508" </w:instrText>
      </w:r>
      <w:r>
        <w:rPr>
          <w:color w:val="auto"/>
          <w:highlight w:val="auto"/>
        </w:rPr>
        <w:fldChar w:fldCharType="separate"/>
      </w:r>
      <w:r>
        <w:rPr>
          <w:rFonts w:ascii="宋体" w:cs="宋体" w:hint="eastAsia"/>
          <w:snapToGrid w:val="0"/>
          <w:color w:val="auto"/>
          <w:szCs w:val="21"/>
          <w:highlight w:val="auto"/>
        </w:rPr>
        <w:t>三、评标纪律</w:t>
      </w:r>
      <w:r>
        <w:rPr>
          <w:color w:val="auto"/>
          <w:highlight w:val="auto"/>
        </w:rPr>
        <w:tab/>
      </w:r>
      <w:r>
        <w:rPr>
          <w:color w:val="auto"/>
          <w:highlight w:val="auto"/>
        </w:rPr>
        <w:fldChar w:fldCharType="begin"/>
      </w:r>
      <w:r>
        <w:rPr>
          <w:color w:val="auto"/>
          <w:highlight w:val="auto"/>
        </w:rPr>
        <w:instrText xml:space="preserve"> PAGEREF _Toc11508 \h </w:instrText>
      </w:r>
      <w:r>
        <w:rPr>
          <w:color w:val="auto"/>
          <w:highlight w:val="auto"/>
        </w:rPr>
        <w:fldChar w:fldCharType="separate"/>
      </w:r>
      <w:r>
        <w:rPr>
          <w:color w:val="auto"/>
          <w:highlight w:val="auto"/>
        </w:rPr>
        <w:t>46</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"_Toc29447" </w:instrText>
      </w:r>
      <w:r>
        <w:rPr>
          <w:color w:val="auto"/>
          <w:highlight w:val="auto"/>
        </w:rPr>
        <w:fldChar w:fldCharType="separate"/>
      </w:r>
      <w:r>
        <w:rPr>
          <w:rFonts w:ascii="宋体" w:cs="宋体" w:hint="eastAsia"/>
          <w:snapToGrid w:val="0"/>
          <w:color w:val="auto"/>
          <w:szCs w:val="21"/>
          <w:highlight w:val="auto"/>
        </w:rPr>
        <w:t>四、评标程序</w:t>
      </w:r>
      <w:r>
        <w:rPr>
          <w:color w:val="auto"/>
          <w:highlight w:val="auto"/>
        </w:rPr>
        <w:tab/>
      </w:r>
      <w:r>
        <w:rPr>
          <w:color w:val="auto"/>
          <w:highlight w:val="auto"/>
        </w:rPr>
        <w:fldChar w:fldCharType="begin"/>
      </w:r>
      <w:r>
        <w:rPr>
          <w:color w:val="auto"/>
          <w:highlight w:val="auto"/>
        </w:rPr>
        <w:instrText xml:space="preserve"> PAGEREF _Toc29447 \h </w:instrText>
      </w:r>
      <w:r>
        <w:rPr>
          <w:color w:val="auto"/>
          <w:highlight w:val="auto"/>
        </w:rPr>
        <w:fldChar w:fldCharType="separate"/>
      </w:r>
      <w:r>
        <w:rPr>
          <w:color w:val="auto"/>
          <w:highlight w:val="auto"/>
        </w:rPr>
        <w:t>47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"_Toc13224" </w:instrText>
      </w:r>
      <w:r>
        <w:rPr>
          <w:color w:val="auto"/>
          <w:highlight w:val="auto"/>
        </w:rPr>
        <w:fldChar w:fldCharType="separate"/>
      </w:r>
      <w:r>
        <w:rPr>
          <w:rFonts w:ascii="宋体" w:cs="宋体" w:hint="eastAsia"/>
          <w:snapToGrid w:val="0"/>
          <w:color w:val="auto"/>
          <w:szCs w:val="21"/>
          <w:highlight w:val="auto"/>
        </w:rPr>
        <w:t>五、评标细则及标准</w:t>
      </w:r>
      <w:r>
        <w:rPr>
          <w:color w:val="auto"/>
          <w:highlight w:val="auto"/>
        </w:rPr>
        <w:tab/>
      </w:r>
      <w:r>
        <w:rPr>
          <w:color w:val="auto"/>
          <w:highlight w:val="auto"/>
        </w:rPr>
        <w:fldChar w:fldCharType="begin"/>
      </w:r>
      <w:r>
        <w:rPr>
          <w:color w:val="auto"/>
          <w:highlight w:val="auto"/>
        </w:rPr>
        <w:instrText xml:space="preserve"> PAGEREF _Toc13224 \h </w:instrText>
      </w:r>
      <w:r>
        <w:rPr>
          <w:color w:val="auto"/>
          <w:highlight w:val="auto"/>
        </w:rPr>
        <w:fldChar w:fldCharType="separate"/>
      </w:r>
      <w:r>
        <w:rPr>
          <w:color w:val="auto"/>
          <w:highlight w:val="auto"/>
        </w:rPr>
        <w:t>48</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"_Toc13806" </w:instrText>
      </w:r>
      <w:r>
        <w:rPr>
          <w:color w:val="auto"/>
          <w:highlight w:val="auto"/>
        </w:rPr>
        <w:fldChar w:fldCharType="separate"/>
      </w:r>
      <w:r>
        <w:rPr>
          <w:rFonts w:ascii="宋体" w:hint="eastAsia"/>
          <w:color w:val="auto"/>
          <w:szCs w:val="32"/>
          <w:highlight w:val="auto"/>
        </w:rPr>
        <w:t>第六章</w:t>
      </w:r>
      <w:r>
        <w:rPr>
          <w:rFonts w:ascii="宋体"/>
          <w:color w:val="auto"/>
          <w:szCs w:val="32"/>
          <w:highlight w:val="auto"/>
        </w:rPr>
        <w:t xml:space="preserve">  </w:t>
      </w:r>
      <w:r>
        <w:rPr>
          <w:rFonts w:ascii="宋体" w:hint="eastAsia"/>
          <w:color w:val="auto"/>
          <w:szCs w:val="32"/>
          <w:highlight w:val="auto"/>
        </w:rPr>
        <w:t>投标文件格式</w:t>
      </w:r>
      <w:r>
        <w:rPr>
          <w:color w:val="auto"/>
          <w:highlight w:val="auto"/>
        </w:rPr>
        <w:tab/>
      </w:r>
      <w:r>
        <w:rPr>
          <w:color w:val="auto"/>
          <w:highlight w:val="auto"/>
        </w:rPr>
        <w:fldChar w:fldCharType="begin"/>
      </w:r>
      <w:r>
        <w:rPr>
          <w:color w:val="auto"/>
          <w:highlight w:val="auto"/>
        </w:rPr>
        <w:instrText xml:space="preserve"> PAGEREF _Toc13806 \h </w:instrText>
      </w:r>
      <w:r>
        <w:rPr>
          <w:color w:val="auto"/>
          <w:highlight w:val="auto"/>
        </w:rPr>
        <w:fldChar w:fldCharType="separate"/>
      </w:r>
      <w:r>
        <w:rPr>
          <w:color w:val="auto"/>
          <w:highlight w:val="auto"/>
        </w:rPr>
        <w:t>53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p>
    <w:p>
      <w:pPr>
        <w:tabs>
          <w:tab w:val="left" w:leader="middleDot" w:pos="8190"/>
        </w:tabs>
        <w:spacing w:line="360" w:lineRule="auto"/>
        <w:jc w:val="center"/>
        <w:rPr>
          <w:rFonts w:ascii="宋体"/>
          <w:b/>
          <w:color w:val="auto"/>
          <w:sz w:val="30"/>
          <w:szCs w:val="30"/>
          <w:highlight w:val="auto"/>
        </w:rPr>
      </w:pPr>
      <w:r>
        <w:rPr>
          <w:rFonts w:ascii="宋体"/>
          <w:color w:val="auto"/>
          <w:szCs w:val="30"/>
          <w:highlight w:val="auto"/>
        </w:rPr>
        <w:fldChar w:fldCharType="end"/>
      </w:r>
      <w:r>
        <w:rPr>
          <w:rFonts w:ascii="宋体"/>
          <w:b/>
          <w:color w:val="auto"/>
          <w:sz w:val="30"/>
          <w:szCs w:val="30"/>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 w:name="_Toc107822481"/>
      <w:bookmarkStart w:id="2" w:name="_Toc226969274"/>
      <w:bookmarkStart w:id="3" w:name="_Toc227057881"/>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4" w:name="_Toc23985"/>
      <w:bookmarkStart w:id="5" w:name="_Toc60757518"/>
      <w:r>
        <w:rPr>
          <w:rFonts w:ascii="宋体" w:hint="eastAsia"/>
          <w:b/>
          <w:color w:val="auto"/>
          <w:sz w:val="32"/>
          <w:szCs w:val="32"/>
          <w:highlight w:val="auto"/>
        </w:rPr>
        <w:t>第一章</w:t>
      </w:r>
      <w:r>
        <w:rPr>
          <w:rFonts w:ascii="宋体"/>
          <w:b/>
          <w:color w:val="auto"/>
          <w:sz w:val="32"/>
          <w:szCs w:val="32"/>
          <w:highlight w:val="auto"/>
        </w:rPr>
        <w:t xml:space="preserve">  </w:t>
      </w:r>
      <w:r>
        <w:rPr>
          <w:rFonts w:ascii="宋体" w:hint="eastAsia"/>
          <w:b/>
          <w:color w:val="auto"/>
          <w:sz w:val="32"/>
          <w:szCs w:val="32"/>
          <w:highlight w:val="auto"/>
        </w:rPr>
        <w:t>招标公告</w:t>
      </w:r>
      <w:bookmarkEnd w:id="1"/>
      <w:bookmarkEnd w:id="4"/>
      <w:bookmarkEnd w:id="5"/>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bookmarkEnd w:id="2"/>
      <w:bookmarkEnd w:id="3"/>
      <w:r>
        <w:rPr>
          <w:rFonts w:ascii="宋体" w:hint="eastAsia"/>
          <w:color w:val="auto"/>
          <w:szCs w:val="21"/>
          <w:highlight w:val="auto"/>
        </w:rPr>
        <w:t>项目概况</w:t>
      </w:r>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r>
        <w:rPr>
          <w:rFonts w:ascii="宋体" w:hint="eastAsia"/>
          <w:color w:val="auto"/>
          <w:szCs w:val="21"/>
          <w:u w:val="single"/>
          <w:lang w:eastAsia="zh-CN"/>
          <w:highlight w:val="auto"/>
        </w:rPr>
        <w:t>嘉兴海关综合技术服务中心2025年实验室仪器设备更新项目（一）（第三次）</w:t>
      </w:r>
      <w:r>
        <w:rPr>
          <w:rFonts w:ascii="宋体" w:hint="eastAsia"/>
          <w:color w:val="auto"/>
          <w:szCs w:val="21"/>
          <w:highlight w:val="auto"/>
        </w:rPr>
        <w:t>的潜在供应商应在</w:t>
      </w:r>
      <w:r>
        <w:rPr>
          <w:rFonts w:ascii="宋体" w:hint="eastAsia"/>
          <w:color w:val="auto"/>
          <w:szCs w:val="21"/>
          <w:u w:val="single"/>
          <w:highlight w:val="auto"/>
        </w:rPr>
        <w:t>大地工程咨询有限公司（嘉兴市秀洲区洪波路1200号万豪广场12楼1204室）</w:t>
      </w:r>
      <w:r>
        <w:rPr>
          <w:rFonts w:ascii="宋体" w:hint="eastAsia"/>
          <w:color w:val="auto"/>
          <w:szCs w:val="21"/>
          <w:highlight w:val="auto"/>
        </w:rPr>
        <w:t>获取采购文件，并于</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12</w:t>
      </w:r>
      <w:r>
        <w:rPr>
          <w:rFonts w:ascii="宋体" w:hint="eastAsia"/>
          <w:color w:val="auto"/>
          <w:szCs w:val="21"/>
          <w:u w:val="single"/>
          <w:highlight w:val="auto"/>
        </w:rPr>
        <w:t>月</w:t>
      </w:r>
      <w:r>
        <w:rPr>
          <w:rFonts w:ascii="宋体" w:hint="eastAsia"/>
          <w:color w:val="auto"/>
          <w:szCs w:val="21"/>
          <w:u w:val="single"/>
          <w:lang w:val="en-US" w:eastAsia="zh-CN"/>
          <w:highlight w:val="auto"/>
        </w:rPr>
        <w:t>17</w:t>
      </w:r>
      <w:r>
        <w:rPr>
          <w:rFonts w:ascii="宋体" w:hint="eastAsia"/>
          <w:color w:val="auto"/>
          <w:szCs w:val="21"/>
          <w:u w:val="single"/>
          <w:highlight w:val="auto"/>
        </w:rPr>
        <w:t>日</w:t>
      </w:r>
      <w:r>
        <w:rPr>
          <w:rFonts w:ascii="宋体" w:hint="eastAsia"/>
          <w:color w:val="auto"/>
          <w:szCs w:val="21"/>
          <w:u w:val="single"/>
          <w:lang w:val="en-US" w:eastAsia="zh-CN"/>
          <w:highlight w:val="auto"/>
        </w:rPr>
        <w:t>14</w:t>
      </w:r>
      <w:r>
        <w:rPr>
          <w:rFonts w:ascii="宋体" w:hint="eastAsia"/>
          <w:color w:val="auto"/>
          <w:szCs w:val="21"/>
          <w:u w:val="single"/>
          <w:highlight w:val="auto"/>
        </w:rPr>
        <w:t>点</w:t>
      </w:r>
      <w:r>
        <w:rPr>
          <w:rFonts w:ascii="宋体" w:hint="eastAsia"/>
          <w:color w:val="auto"/>
          <w:szCs w:val="21"/>
          <w:u w:val="single"/>
          <w:lang w:val="en-US" w:eastAsia="zh-CN"/>
          <w:highlight w:val="auto"/>
        </w:rPr>
        <w:t>0</w:t>
      </w:r>
      <w:r>
        <w:rPr>
          <w:rFonts w:ascii="宋体" w:hint="eastAsia"/>
          <w:color w:val="auto"/>
          <w:szCs w:val="21"/>
          <w:u w:val="single"/>
          <w:highlight w:val="auto"/>
        </w:rPr>
        <w:t>0分</w:t>
      </w:r>
      <w:r>
        <w:rPr>
          <w:rFonts w:ascii="宋体" w:hint="eastAsia"/>
          <w:color w:val="auto"/>
          <w:szCs w:val="21"/>
          <w:highlight w:val="auto"/>
        </w:rPr>
        <w:t>（北京时间）前提交投标文件。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一、项目基本情况</w:t>
      </w:r>
    </w:p>
    <w:p>
      <w:pPr>
        <w:widowControl/>
        <w:spacing w:line="360" w:lineRule="auto"/>
        <w:ind w:firstLineChars="200" w:firstLine="420"/>
        <w:jc w:val="left"/>
        <w:rPr>
          <w:rFonts w:ascii="宋体" w:eastAsia="宋体" w:cs="宋体" w:hint="eastAsia"/>
          <w:color w:val="auto"/>
          <w:kern w:val="0"/>
          <w:szCs w:val="21"/>
          <w:lang w:eastAsia="zh-CN"/>
          <w:highlight w:val="auto"/>
        </w:rPr>
      </w:pPr>
      <w:r>
        <w:rPr>
          <w:rFonts w:ascii="宋体" w:cs="宋体"/>
          <w:color w:val="auto"/>
          <w:kern w:val="0"/>
          <w:szCs w:val="21"/>
          <w:highlight w:val="auto"/>
        </w:rPr>
        <w:t>1.</w:t>
      </w:r>
      <w:r>
        <w:rPr>
          <w:rFonts w:ascii="宋体" w:cs="宋体" w:hint="eastAsia"/>
          <w:color w:val="auto"/>
          <w:kern w:val="0"/>
          <w:szCs w:val="21"/>
          <w:highlight w:val="auto"/>
        </w:rPr>
        <w:t>项目编号：</w:t>
      </w:r>
      <w:r>
        <w:rPr>
          <w:rFonts w:ascii="宋体" w:cs="宋体" w:hint="eastAsia"/>
          <w:color w:val="auto"/>
          <w:kern w:val="0"/>
          <w:szCs w:val="21"/>
          <w:lang w:eastAsia="zh-CN"/>
          <w:highlight w:val="auto"/>
        </w:rPr>
        <w:t>大地-DDZX-JX（2025）第136号</w:t>
      </w:r>
    </w:p>
    <w:p>
      <w:pPr>
        <w:widowControl/>
        <w:spacing w:line="360" w:lineRule="auto"/>
        <w:ind w:firstLineChars="200" w:firstLine="420"/>
        <w:jc w:val="left"/>
        <w:rPr>
          <w:rFonts w:ascii="宋体" w:eastAsia="宋体" w:hint="eastAsia"/>
          <w:color w:val="auto"/>
          <w:szCs w:val="21"/>
          <w:lang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项目名称：</w:t>
      </w:r>
      <w:r>
        <w:rPr>
          <w:rFonts w:ascii="宋体" w:hint="eastAsia"/>
          <w:color w:val="auto"/>
          <w:szCs w:val="21"/>
          <w:lang w:eastAsia="zh-CN"/>
          <w:highlight w:val="auto"/>
        </w:rPr>
        <w:t>嘉兴海关综合技术服务中心2025年实验室仪器设备更新项目（一）（第三次）</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预算金额：</w:t>
      </w:r>
      <w:r>
        <w:rPr>
          <w:rFonts w:ascii="宋体" w:hint="eastAsia"/>
          <w:snapToGrid w:val="0"/>
          <w:color w:val="auto"/>
          <w:kern w:val="0"/>
          <w:szCs w:val="21"/>
          <w:lang w:eastAsia="zh-CN"/>
          <w:highlight w:val="auto"/>
        </w:rPr>
        <w:t>91.0000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4.最高限价：</w:t>
      </w:r>
      <w:r>
        <w:rPr>
          <w:rFonts w:ascii="宋体" w:cs="宋体" w:hint="eastAsia"/>
          <w:color w:val="auto"/>
          <w:kern w:val="0"/>
          <w:szCs w:val="21"/>
          <w:lang w:eastAsia="zh-CN"/>
          <w:highlight w:val="auto"/>
        </w:rPr>
        <w:t>91.0000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5.采购方式：公开招标</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6</w:t>
      </w:r>
      <w:r>
        <w:rPr>
          <w:rFonts w:ascii="宋体" w:cs="宋体"/>
          <w:color w:val="auto"/>
          <w:kern w:val="0"/>
          <w:szCs w:val="21"/>
          <w:highlight w:val="auto"/>
        </w:rPr>
        <w:t>.</w:t>
      </w:r>
      <w:r>
        <w:rPr>
          <w:rFonts w:ascii="宋体" w:cs="宋体" w:hint="eastAsia"/>
          <w:color w:val="auto"/>
          <w:kern w:val="0"/>
          <w:szCs w:val="21"/>
          <w:highlight w:val="auto"/>
        </w:rPr>
        <w:t>采购需求：</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noWrap/>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noWrap/>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vMerge w:val="restart"/>
            <w:tcBorders>
              <w:tl2br w:val="nil"/>
              <w:tr2bl w:val="nil"/>
            </w:tcBorders>
            <w:noWrap/>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嘉兴海关综合技术服务中心2025年实验室仪器设备更新项目（一）（第三次）</w:t>
            </w:r>
          </w:p>
        </w:tc>
        <w:tc>
          <w:tcPr>
            <w:tcW w:w="1696" w:type="dxa"/>
            <w:tcBorders>
              <w:tl2br w:val="nil"/>
              <w:tr2bl w:val="nil"/>
            </w:tcBorders>
            <w:noWrap/>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平行浓缩仪</w:t>
            </w:r>
          </w:p>
        </w:tc>
        <w:tc>
          <w:tcPr>
            <w:tcW w:w="615" w:type="dxa"/>
            <w:tcBorders>
              <w:tl2br w:val="nil"/>
              <w:tr2bl w:val="nil"/>
            </w:tcBorders>
            <w:noWrap/>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1</w:t>
            </w:r>
          </w:p>
        </w:tc>
        <w:tc>
          <w:tcPr>
            <w:tcW w:w="675" w:type="dxa"/>
            <w:tcBorders>
              <w:tl2br w:val="nil"/>
              <w:tr2bl w:val="nil"/>
            </w:tcBorders>
            <w:noWrap/>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台套</w:t>
            </w:r>
          </w:p>
        </w:tc>
        <w:tc>
          <w:tcPr>
            <w:tcW w:w="1095" w:type="dxa"/>
            <w:tcBorders>
              <w:tl2br w:val="nil"/>
              <w:tr2bl w:val="nil"/>
            </w:tcBorders>
            <w:noWrap/>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val="en-US" w:eastAsia="zh-CN"/>
                <w:highlight w:val="auto"/>
              </w:rPr>
              <w:t>10</w:t>
            </w:r>
          </w:p>
        </w:tc>
        <w:tc>
          <w:tcPr>
            <w:tcW w:w="1050" w:type="dxa"/>
            <w:vMerge w:val="restart"/>
            <w:tcBorders>
              <w:tl2br w:val="nil"/>
              <w:tr2bl w:val="nil"/>
            </w:tcBorders>
            <w:noWrap/>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91</w:t>
            </w:r>
          </w:p>
        </w:tc>
        <w:tc>
          <w:tcPr>
            <w:tcW w:w="1304" w:type="dxa"/>
            <w:vMerge w:val="restart"/>
            <w:tcBorders>
              <w:tl2br w:val="nil"/>
              <w:tr2bl w:val="nil"/>
            </w:tcBorders>
            <w:noWrap/>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r>
        <w:trPr>
          <w:trHeight w:val="454"/>
        </w:trPr>
        <w:tc>
          <w:tcPr>
            <w:tcW w:w="60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2</w:t>
            </w:r>
          </w:p>
        </w:tc>
        <w:tc>
          <w:tcPr>
            <w:tcW w:w="1855" w:type="dxa"/>
            <w:vMerge/>
            <w:tcBorders>
              <w:tl2br w:val="nil"/>
              <w:tr2bl w:val="nil"/>
            </w:tcBorders>
            <w:noWrap/>
            <w:tcMar>
              <w:left w:w="108" w:type="dxa"/>
              <w:right w:w="108" w:type="dxa"/>
            </w:tcMar>
            <w:vAlign w:val="center"/>
          </w:tcPr>
          <w:p/>
        </w:tc>
        <w:tc>
          <w:tcPr>
            <w:tcW w:w="1696"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1</w:t>
            </w:r>
          </w:p>
        </w:tc>
        <w:tc>
          <w:tcPr>
            <w:tcW w:w="61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noWrap/>
            <w:tcMar>
              <w:left w:w="108" w:type="dxa"/>
              <w:right w:w="108" w:type="dxa"/>
            </w:tcMar>
            <w:vAlign w:val="center"/>
          </w:tcPr>
          <w:p/>
        </w:tc>
        <w:tc>
          <w:tcPr>
            <w:tcW w:w="1304" w:type="dxa"/>
            <w:vMerge/>
            <w:tcBorders>
              <w:tl2br w:val="nil"/>
              <w:tr2bl w:val="nil"/>
            </w:tcBorders>
            <w:noWrap/>
            <w:tcMar>
              <w:left w:w="108" w:type="dxa"/>
              <w:right w:w="108" w:type="dxa"/>
            </w:tcMar>
            <w:vAlign w:val="center"/>
          </w:tcPr>
          <w:p/>
        </w:tc>
      </w:tr>
      <w:tr>
        <w:trPr>
          <w:trHeight w:val="454"/>
        </w:trPr>
        <w:tc>
          <w:tcPr>
            <w:tcW w:w="60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3</w:t>
            </w:r>
          </w:p>
        </w:tc>
        <w:tc>
          <w:tcPr>
            <w:tcW w:w="1855" w:type="dxa"/>
            <w:vMerge/>
            <w:tcBorders>
              <w:tl2br w:val="nil"/>
              <w:tr2bl w:val="nil"/>
            </w:tcBorders>
            <w:noWrap/>
            <w:tcMar>
              <w:left w:w="108" w:type="dxa"/>
              <w:right w:w="108" w:type="dxa"/>
            </w:tcMar>
            <w:vAlign w:val="center"/>
          </w:tcPr>
          <w:p/>
        </w:tc>
        <w:tc>
          <w:tcPr>
            <w:tcW w:w="1696" w:type="dxa"/>
            <w:tcBorders>
              <w:tl2br w:val="nil"/>
              <w:tr2bl w:val="nil"/>
            </w:tcBorders>
            <w:noWrap/>
            <w:tcMar>
              <w:left w:w="108" w:type="dxa"/>
              <w:right w:w="108" w:type="dxa"/>
            </w:tcMar>
            <w:vAlign w:val="center"/>
          </w:tcPr>
          <w:p>
            <w:pPr>
              <w:spacing w:line="360" w:lineRule="auto"/>
              <w:jc w:val="center"/>
              <w:rPr>
                <w:rFonts w:ascii="宋体" w:hint="eastAsia"/>
                <w:color w:val="auto"/>
                <w:szCs w:val="21"/>
                <w:lang w:eastAsia="zh-CN"/>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2</w:t>
            </w:r>
          </w:p>
        </w:tc>
        <w:tc>
          <w:tcPr>
            <w:tcW w:w="615" w:type="dxa"/>
            <w:tcBorders>
              <w:tl2br w:val="nil"/>
              <w:tr2bl w:val="nil"/>
            </w:tcBorders>
            <w:noWrap/>
            <w:tcMar>
              <w:left w:w="108" w:type="dxa"/>
              <w:right w:w="108" w:type="dxa"/>
            </w:tcMar>
            <w:vAlign w:val="center"/>
          </w:tcPr>
          <w:p>
            <w:pPr>
              <w:spacing w:line="360" w:lineRule="auto"/>
              <w:jc w:val="center"/>
              <w:rPr>
                <w:rFonts w:ascii="宋体" w:hint="eastAsia"/>
                <w:color w:val="auto"/>
                <w:szCs w:val="21"/>
                <w:lang w:eastAsia="zh-CN"/>
                <w:highlight w:val="auto"/>
              </w:rPr>
            </w:pPr>
            <w:r>
              <w:rPr>
                <w:rFonts w:ascii="宋体" w:hint="eastAsia"/>
                <w:color w:val="auto"/>
                <w:szCs w:val="21"/>
                <w:lang w:eastAsia="zh-CN"/>
                <w:highlight w:val="auto"/>
              </w:rPr>
              <w:t>1</w:t>
            </w:r>
          </w:p>
        </w:tc>
        <w:tc>
          <w:tcPr>
            <w:tcW w:w="675" w:type="dxa"/>
            <w:tcBorders>
              <w:tl2br w:val="nil"/>
              <w:tr2bl w:val="nil"/>
            </w:tcBorders>
            <w:noWrap/>
            <w:tcMar>
              <w:left w:w="108" w:type="dxa"/>
              <w:right w:w="108" w:type="dxa"/>
            </w:tcMar>
            <w:vAlign w:val="center"/>
          </w:tcPr>
          <w:p>
            <w:pPr>
              <w:spacing w:line="360" w:lineRule="auto"/>
              <w:jc w:val="center"/>
              <w:rPr>
                <w:rFonts w:ascii="宋体" w:hint="eastAsia"/>
                <w:color w:val="auto"/>
                <w:szCs w:val="21"/>
                <w:lang w:eastAsia="zh-CN"/>
                <w:highlight w:val="auto"/>
              </w:rPr>
            </w:pPr>
            <w:r>
              <w:rPr>
                <w:rFonts w:ascii="宋体" w:hint="eastAsia"/>
                <w:color w:val="auto"/>
                <w:szCs w:val="21"/>
                <w:lang w:eastAsia="zh-CN"/>
                <w:highlight w:val="auto"/>
              </w:rPr>
              <w:t>台套</w:t>
            </w:r>
          </w:p>
        </w:tc>
        <w:tc>
          <w:tcPr>
            <w:tcW w:w="1095" w:type="dxa"/>
            <w:tcBorders>
              <w:tl2br w:val="nil"/>
              <w:tr2bl w:val="nil"/>
            </w:tcBorders>
            <w:noWrap/>
            <w:tcMar>
              <w:left w:w="108" w:type="dxa"/>
              <w:right w:w="108" w:type="dxa"/>
            </w:tcMar>
            <w:vAlign w:val="center"/>
          </w:tcPr>
          <w:p>
            <w:pPr>
              <w:spacing w:line="360" w:lineRule="auto"/>
              <w:jc w:val="center"/>
              <w:rPr>
                <w:rFonts w:ascii="宋体" w:hint="eastAsia"/>
                <w:color w:val="auto"/>
                <w:szCs w:val="21"/>
                <w:lang w:val="en-US" w:eastAsia="zh-CN"/>
                <w:highlight w:val="auto"/>
              </w:rPr>
            </w:pPr>
            <w:r>
              <w:rPr>
                <w:rFonts w:ascii="宋体" w:hint="eastAsia"/>
                <w:color w:val="auto"/>
                <w:szCs w:val="21"/>
                <w:lang w:val="en-US" w:eastAsia="zh-CN"/>
                <w:highlight w:val="auto"/>
              </w:rPr>
              <w:t>19</w:t>
            </w:r>
          </w:p>
        </w:tc>
        <w:tc>
          <w:tcPr>
            <w:tcW w:w="1050" w:type="dxa"/>
            <w:vMerge/>
            <w:tcBorders>
              <w:tl2br w:val="nil"/>
              <w:tr2bl w:val="nil"/>
            </w:tcBorders>
            <w:noWrap/>
            <w:tcMar>
              <w:left w:w="108" w:type="dxa"/>
              <w:right w:w="108" w:type="dxa"/>
            </w:tcMar>
            <w:vAlign w:val="center"/>
          </w:tcPr>
          <w:p/>
        </w:tc>
        <w:tc>
          <w:tcPr>
            <w:tcW w:w="1304" w:type="dxa"/>
            <w:vMerge/>
            <w:tcBorders>
              <w:tl2br w:val="nil"/>
              <w:tr2bl w:val="nil"/>
            </w:tcBorders>
            <w:noWrap/>
            <w:tcMar>
              <w:left w:w="108" w:type="dxa"/>
              <w:right w:w="108" w:type="dxa"/>
            </w:tcMar>
            <w:vAlign w:val="center"/>
          </w:tcPr>
          <w:p/>
        </w:tc>
      </w:tr>
      <w:tr>
        <w:trPr>
          <w:trHeight w:val="454"/>
        </w:trPr>
        <w:tc>
          <w:tcPr>
            <w:tcW w:w="60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4</w:t>
            </w:r>
          </w:p>
        </w:tc>
        <w:tc>
          <w:tcPr>
            <w:tcW w:w="1855" w:type="dxa"/>
            <w:vMerge/>
            <w:tcBorders>
              <w:tl2br w:val="nil"/>
              <w:tr2bl w:val="nil"/>
            </w:tcBorders>
            <w:noWrap/>
            <w:tcMar>
              <w:left w:w="108" w:type="dxa"/>
              <w:right w:w="108" w:type="dxa"/>
            </w:tcMar>
            <w:vAlign w:val="center"/>
          </w:tcPr>
          <w:p/>
        </w:tc>
        <w:tc>
          <w:tcPr>
            <w:tcW w:w="1696"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研磨仪</w:t>
            </w:r>
          </w:p>
        </w:tc>
        <w:tc>
          <w:tcPr>
            <w:tcW w:w="61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noWrap/>
            <w:tcMar>
              <w:left w:w="108" w:type="dxa"/>
              <w:right w:w="108" w:type="dxa"/>
            </w:tcMar>
            <w:vAlign w:val="center"/>
          </w:tcPr>
          <w:p/>
        </w:tc>
        <w:tc>
          <w:tcPr>
            <w:tcW w:w="1304" w:type="dxa"/>
            <w:vMerge/>
            <w:tcBorders>
              <w:tl2br w:val="nil"/>
              <w:tr2bl w:val="nil"/>
            </w:tcBorders>
            <w:noWrap/>
            <w:tcMar>
              <w:left w:w="108" w:type="dxa"/>
              <w:right w:w="108" w:type="dxa"/>
            </w:tcMar>
            <w:vAlign w:val="center"/>
          </w:tcPr>
          <w:p/>
        </w:tc>
      </w:tr>
      <w:tr>
        <w:trPr>
          <w:trHeight w:val="454"/>
        </w:trPr>
        <w:tc>
          <w:tcPr>
            <w:tcW w:w="605" w:type="dxa"/>
            <w:tcBorders>
              <w:tl2br w:val="nil"/>
              <w:tr2bl w:val="nil"/>
            </w:tcBorders>
            <w:noWrap/>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5</w:t>
            </w:r>
          </w:p>
        </w:tc>
        <w:tc>
          <w:tcPr>
            <w:tcW w:w="1855" w:type="dxa"/>
            <w:vMerge/>
            <w:tcBorders>
              <w:tl2br w:val="nil"/>
              <w:tr2bl w:val="nil"/>
            </w:tcBorders>
            <w:noWrap/>
            <w:tcMar>
              <w:left w:w="108" w:type="dxa"/>
              <w:right w:w="108" w:type="dxa"/>
            </w:tcMar>
            <w:vAlign w:val="center"/>
          </w:tcPr>
          <w:p/>
        </w:tc>
        <w:tc>
          <w:tcPr>
            <w:tcW w:w="1696"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凝胶色谱仪</w:t>
            </w:r>
          </w:p>
        </w:tc>
        <w:tc>
          <w:tcPr>
            <w:tcW w:w="61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noWrap/>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32</w:t>
            </w:r>
          </w:p>
        </w:tc>
        <w:tc>
          <w:tcPr>
            <w:tcW w:w="1050" w:type="dxa"/>
            <w:vMerge/>
            <w:tcBorders>
              <w:tl2br w:val="nil"/>
              <w:tr2bl w:val="nil"/>
            </w:tcBorders>
            <w:noWrap/>
            <w:tcMar>
              <w:left w:w="108" w:type="dxa"/>
              <w:right w:w="108" w:type="dxa"/>
            </w:tcMar>
            <w:vAlign w:val="center"/>
          </w:tcPr>
          <w:p/>
        </w:tc>
        <w:tc>
          <w:tcPr>
            <w:tcW w:w="1304" w:type="dxa"/>
            <w:vMerge/>
            <w:tcBorders>
              <w:tl2br w:val="nil"/>
              <w:tr2bl w:val="nil"/>
            </w:tcBorders>
            <w:noWrap/>
            <w:tcMar>
              <w:left w:w="108" w:type="dxa"/>
              <w:right w:w="108" w:type="dxa"/>
            </w:tcMar>
            <w:vAlign w:val="center"/>
          </w:tcPr>
          <w:p/>
        </w:tc>
      </w:tr>
    </w:tbl>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7</w:t>
      </w:r>
      <w:r>
        <w:rPr>
          <w:rFonts w:ascii="宋体" w:cs="宋体"/>
          <w:color w:val="auto"/>
          <w:kern w:val="0"/>
          <w:szCs w:val="21"/>
          <w:highlight w:val="auto"/>
        </w:rPr>
        <w:t>.</w:t>
      </w:r>
      <w:r>
        <w:rPr>
          <w:rFonts w:ascii="宋体" w:cs="宋体" w:hint="eastAsia"/>
          <w:color w:val="auto"/>
          <w:kern w:val="0"/>
          <w:szCs w:val="21"/>
          <w:highlight w:val="auto"/>
        </w:rPr>
        <w:t>合同履行期限：</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8</w:t>
      </w:r>
      <w:r>
        <w:rPr>
          <w:rFonts w:ascii="宋体" w:cs="宋体"/>
          <w:color w:val="auto"/>
          <w:kern w:val="0"/>
          <w:szCs w:val="21"/>
          <w:highlight w:val="auto"/>
        </w:rPr>
        <w:t>.</w:t>
      </w:r>
      <w:r>
        <w:rPr>
          <w:rFonts w:ascii="宋体" w:cs="宋体" w:hint="eastAsia"/>
          <w:color w:val="auto"/>
          <w:kern w:val="0"/>
          <w:szCs w:val="21"/>
          <w:highlight w:val="auto"/>
        </w:rPr>
        <w:t>本项目</w:t>
      </w:r>
      <w:r>
        <w:rPr>
          <w:rFonts w:ascii="宋体" w:cs="宋体"/>
          <w:color w:val="auto"/>
          <w:kern w:val="0"/>
          <w:szCs w:val="21"/>
          <w:highlight w:val="auto"/>
        </w:rPr>
        <w:t xml:space="preserve">( </w:t>
      </w:r>
      <w:r>
        <w:rPr>
          <w:rFonts w:ascii="宋体" w:cs="宋体" w:hint="eastAsia"/>
          <w:color w:val="auto"/>
          <w:kern w:val="0"/>
          <w:szCs w:val="21"/>
          <w:highlight w:val="auto"/>
        </w:rPr>
        <w:t>不接受</w:t>
      </w:r>
      <w:r>
        <w:rPr>
          <w:rFonts w:ascii="宋体" w:cs="宋体"/>
          <w:color w:val="auto"/>
          <w:kern w:val="0"/>
          <w:szCs w:val="21"/>
          <w:highlight w:val="auto"/>
        </w:rPr>
        <w:t xml:space="preserve"> )</w:t>
      </w:r>
      <w:r>
        <w:rPr>
          <w:rFonts w:ascii="宋体" w:cs="宋体" w:hint="eastAsia"/>
          <w:color w:val="auto"/>
          <w:kern w:val="0"/>
          <w:szCs w:val="21"/>
          <w:highlight w:val="auto"/>
        </w:rPr>
        <w:t>联合体投标。</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二、申请人的资格要求：</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1.</w:t>
      </w:r>
      <w:r>
        <w:rPr>
          <w:rFonts w:ascii="宋体" w:cs="宋体" w:hint="eastAsia"/>
          <w:color w:val="auto"/>
          <w:kern w:val="0"/>
          <w:szCs w:val="21"/>
          <w:highlight w:val="auto"/>
        </w:rPr>
        <w:t>满足《中华人民共和国政府采购法》第二十二条规定；</w:t>
      </w:r>
    </w:p>
    <w:p>
      <w:pPr>
        <w:widowControl/>
        <w:spacing w:line="360" w:lineRule="auto"/>
        <w:ind w:firstLineChars="200" w:firstLine="420"/>
        <w:jc w:val="left"/>
        <w:rPr>
          <w:rFonts w:ascii="宋体" w:cs="宋体" w:hint="eastAsia"/>
          <w:color w:val="auto"/>
          <w:kern w:val="0"/>
          <w:szCs w:val="21"/>
          <w:lang w:val="en-US"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落实政府采购政策需满足的资格要求：</w:t>
      </w:r>
      <w:r>
        <w:rPr>
          <w:rFonts w:ascii="宋体" w:cs="宋体" w:hint="eastAsia"/>
          <w:color w:val="auto"/>
          <w:kern w:val="0"/>
          <w:szCs w:val="21"/>
          <w:lang w:val="en-US" w:eastAsia="zh-CN"/>
          <w:highlight w:val="auto"/>
        </w:rPr>
        <w:t>专门面向中小企业；</w:t>
      </w:r>
    </w:p>
    <w:p>
      <w:pPr>
        <w:widowControl/>
        <w:spacing w:line="360" w:lineRule="auto"/>
        <w:ind w:firstLineChars="200" w:firstLine="420"/>
        <w:jc w:val="left"/>
        <w:rPr>
          <w:rFonts w:ascii="宋体" w:cs="宋体"/>
          <w:b/>
          <w:bCs/>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本项目的特定资格要求：</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本项目不接受进口产品投标（进口产品是指通过中国海关报关，验放进入中国境内，且产自关境外的产品）</w:t>
      </w:r>
    </w:p>
    <w:p>
      <w:pPr>
        <w:pStyle w:val="21"/>
        <w:spacing w:line="360" w:lineRule="auto"/>
        <w:rPr>
          <w:rFonts w:ascii="宋体" w:cs="宋体"/>
          <w:b/>
          <w:bCs/>
          <w:color w:val="auto"/>
          <w:kern w:val="0"/>
          <w:sz w:val="21"/>
          <w:szCs w:val="21"/>
          <w:highlight w:val="auto"/>
        </w:rPr>
      </w:pPr>
      <w:r>
        <w:rPr>
          <w:rFonts w:ascii="宋体" w:cs="宋体" w:hint="eastAsia"/>
          <w:b/>
          <w:bCs/>
          <w:color w:val="auto"/>
          <w:kern w:val="0"/>
          <w:sz w:val="21"/>
          <w:szCs w:val="21"/>
          <w:highlight w:val="auto"/>
        </w:rPr>
        <w:t>三、获取招标文件</w:t>
      </w:r>
    </w:p>
    <w:p>
      <w:pPr>
        <w:spacing w:line="360" w:lineRule="auto"/>
        <w:ind w:firstLine="540"/>
        <w:rPr>
          <w:rFonts w:ascii="宋体" w:cs="宋体"/>
          <w:color w:val="auto"/>
          <w:szCs w:val="21"/>
          <w:highlight w:val="auto"/>
        </w:rPr>
      </w:pPr>
      <w:r>
        <w:rPr>
          <w:rFonts w:ascii="宋体" w:cs="宋体" w:hint="eastAsia"/>
          <w:color w:val="auto"/>
          <w:szCs w:val="21"/>
          <w:highlight w:val="auto"/>
        </w:rPr>
        <w:t>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11</w:t>
      </w:r>
      <w:r>
        <w:rPr>
          <w:rFonts w:ascii="宋体" w:hint="eastAsia"/>
          <w:color w:val="auto"/>
          <w:szCs w:val="21"/>
          <w:u w:val="single"/>
          <w:highlight w:val="auto"/>
        </w:rPr>
        <w:t>月</w:t>
      </w:r>
      <w:r>
        <w:rPr>
          <w:rFonts w:ascii="宋体" w:hint="eastAsia"/>
          <w:color w:val="auto"/>
          <w:szCs w:val="21"/>
          <w:u w:val="single"/>
          <w:lang w:val="en-US" w:eastAsia="zh-CN"/>
          <w:highlight w:val="auto"/>
        </w:rPr>
        <w:t>27</w:t>
      </w:r>
      <w:r>
        <w:rPr>
          <w:rFonts w:ascii="宋体" w:hint="eastAsia"/>
          <w:color w:val="auto"/>
          <w:szCs w:val="21"/>
          <w:u w:val="single"/>
          <w:highlight w:val="auto"/>
        </w:rPr>
        <w:t>日</w:t>
      </w:r>
      <w:r>
        <w:rPr>
          <w:rFonts w:ascii="宋体" w:cs="宋体" w:hint="eastAsia"/>
          <w:color w:val="auto"/>
          <w:szCs w:val="21"/>
          <w:highlight w:val="auto"/>
        </w:rPr>
        <w:t>至</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12</w:t>
      </w:r>
      <w:r>
        <w:rPr>
          <w:rFonts w:ascii="宋体" w:hint="eastAsia"/>
          <w:color w:val="auto"/>
          <w:szCs w:val="21"/>
          <w:u w:val="single"/>
          <w:highlight w:val="auto"/>
        </w:rPr>
        <w:t>月</w:t>
      </w:r>
      <w:r>
        <w:rPr>
          <w:rFonts w:ascii="宋体" w:hint="eastAsia"/>
          <w:color w:val="auto"/>
          <w:szCs w:val="21"/>
          <w:u w:val="single"/>
          <w:lang w:val="en-US" w:eastAsia="zh-CN"/>
          <w:highlight w:val="auto"/>
        </w:rPr>
        <w:t>16</w:t>
      </w:r>
      <w:r>
        <w:rPr>
          <w:rFonts w:ascii="宋体" w:hint="eastAsia"/>
          <w:color w:val="auto"/>
          <w:szCs w:val="21"/>
          <w:u w:val="single"/>
          <w:highlight w:val="auto"/>
        </w:rPr>
        <w:t>日</w:t>
      </w:r>
      <w:r>
        <w:rPr>
          <w:rFonts w:ascii="宋体" w:cs="宋体" w:hint="eastAsia"/>
          <w:color w:val="auto"/>
          <w:szCs w:val="21"/>
          <w:highlight w:val="auto"/>
        </w:rPr>
        <w:t>，每天上午</w:t>
      </w:r>
      <w:r>
        <w:rPr>
          <w:rFonts w:ascii="宋体" w:cs="宋体"/>
          <w:color w:val="auto"/>
          <w:szCs w:val="21"/>
          <w:u w:val="single"/>
          <w:highlight w:val="auto"/>
        </w:rPr>
        <w:t xml:space="preserve"> 8:30</w:t>
      </w:r>
      <w:r>
        <w:rPr>
          <w:rFonts w:ascii="宋体" w:cs="宋体" w:hint="eastAsia"/>
          <w:color w:val="auto"/>
          <w:szCs w:val="21"/>
          <w:highlight w:val="auto"/>
        </w:rPr>
        <w:t>至</w:t>
      </w:r>
      <w:r>
        <w:rPr>
          <w:rFonts w:ascii="宋体" w:cs="宋体"/>
          <w:color w:val="auto"/>
          <w:szCs w:val="21"/>
          <w:u w:val="single"/>
          <w:highlight w:val="auto"/>
        </w:rPr>
        <w:t xml:space="preserve"> 11:30</w:t>
      </w:r>
      <w:r>
        <w:rPr>
          <w:rFonts w:ascii="宋体" w:cs="宋体" w:hint="eastAsia"/>
          <w:color w:val="auto"/>
          <w:szCs w:val="21"/>
          <w:highlight w:val="auto"/>
        </w:rPr>
        <w:t>，下午</w:t>
      </w:r>
      <w:r>
        <w:rPr>
          <w:rFonts w:ascii="宋体" w:cs="宋体"/>
          <w:color w:val="auto"/>
          <w:szCs w:val="21"/>
          <w:u w:val="single"/>
          <w:highlight w:val="auto"/>
        </w:rPr>
        <w:t xml:space="preserve"> 13:30</w:t>
      </w:r>
      <w:r>
        <w:rPr>
          <w:rFonts w:ascii="宋体" w:cs="宋体" w:hint="eastAsia"/>
          <w:color w:val="auto"/>
          <w:szCs w:val="21"/>
          <w:highlight w:val="auto"/>
        </w:rPr>
        <w:t>至</w:t>
      </w:r>
      <w:r>
        <w:rPr>
          <w:rFonts w:ascii="宋体" w:cs="宋体"/>
          <w:color w:val="auto"/>
          <w:szCs w:val="21"/>
          <w:u w:val="single"/>
          <w:highlight w:val="auto"/>
        </w:rPr>
        <w:t xml:space="preserve"> 17:00</w:t>
      </w:r>
      <w:r>
        <w:rPr>
          <w:rFonts w:ascii="宋体" w:cs="宋体" w:hint="eastAsia"/>
          <w:color w:val="auto"/>
          <w:szCs w:val="21"/>
          <w:highlight w:val="auto"/>
        </w:rPr>
        <w:t>（北京时间，法定节假日除外</w:t>
      </w:r>
      <w:r>
        <w:rPr>
          <w:rFonts w:ascii="宋体" w:cs="宋体"/>
          <w:color w:val="auto"/>
          <w:szCs w:val="21"/>
          <w:highlight w:val="auto"/>
        </w:rPr>
        <w:t xml:space="preserve"> </w:t>
      </w:r>
      <w:r>
        <w:rPr>
          <w:rFonts w:ascii="宋体" w:cs="宋体" w:hint="eastAsia"/>
          <w:color w:val="auto"/>
          <w:szCs w:val="21"/>
          <w:highlight w:val="auto"/>
        </w:rPr>
        <w:t>）</w:t>
      </w:r>
    </w:p>
    <w:p>
      <w:pPr>
        <w:spacing w:line="360" w:lineRule="auto"/>
        <w:ind w:firstLine="540"/>
        <w:rPr>
          <w:rFonts w:ascii="宋体" w:cs="宋体"/>
          <w:color w:val="auto"/>
          <w:szCs w:val="21"/>
          <w:u w:val="single"/>
          <w:highlight w:val="auto"/>
        </w:rPr>
      </w:pPr>
      <w:r>
        <w:rPr>
          <w:rFonts w:ascii="宋体" w:cs="宋体" w:hint="eastAsia"/>
          <w:color w:val="auto"/>
          <w:szCs w:val="21"/>
          <w:highlight w:val="auto"/>
        </w:rPr>
        <w:t>地点：</w:t>
      </w:r>
      <w:r>
        <w:rPr>
          <w:rFonts w:ascii="宋体" w:hint="eastAsia"/>
          <w:color w:val="auto"/>
          <w:szCs w:val="21"/>
          <w:highlight w:val="auto"/>
        </w:rPr>
        <w:t>大地工程咨询有限公司（嘉兴市秀洲区洪波路1200号万豪广场12楼1204室）</w:t>
      </w:r>
    </w:p>
    <w:p>
      <w:pPr>
        <w:spacing w:line="360" w:lineRule="auto"/>
        <w:ind w:firstLine="540"/>
        <w:rPr>
          <w:rFonts w:ascii="宋体" w:cs="宋体"/>
          <w:color w:val="auto"/>
          <w:szCs w:val="21"/>
          <w:highlight w:val="auto"/>
        </w:rPr>
      </w:pPr>
      <w:r>
        <w:rPr>
          <w:rFonts w:ascii="宋体" w:cs="宋体" w:hint="eastAsia"/>
          <w:color w:val="auto"/>
          <w:szCs w:val="21"/>
          <w:highlight w:val="auto"/>
        </w:rPr>
        <w:t>方式：现场报名</w:t>
      </w:r>
      <w:r>
        <w:rPr>
          <w:rFonts w:ascii="宋体" w:cs="宋体"/>
          <w:color w:val="auto"/>
          <w:szCs w:val="21"/>
          <w:highlight w:val="auto"/>
        </w:rPr>
        <w:t>/</w:t>
      </w:r>
      <w:r>
        <w:rPr>
          <w:rFonts w:ascii="宋体" w:cs="宋体" w:hint="eastAsia"/>
          <w:color w:val="auto"/>
          <w:szCs w:val="21"/>
          <w:highlight w:val="auto"/>
        </w:rPr>
        <w:t>或邮件报名</w:t>
      </w:r>
    </w:p>
    <w:p>
      <w:pPr>
        <w:spacing w:line="360" w:lineRule="auto"/>
        <w:ind w:firstLine="540"/>
        <w:rPr>
          <w:rFonts w:ascii="宋体" w:eastAsia="宋体"/>
          <w:color w:val="auto"/>
          <w:szCs w:val="21"/>
          <w:lang w:val="en-US" w:eastAsia="zh-CN"/>
          <w:highlight w:val="auto"/>
        </w:rPr>
      </w:pPr>
      <w:r>
        <w:rPr>
          <w:rFonts w:ascii="宋体" w:cs="宋体" w:hint="eastAsia"/>
          <w:color w:val="auto"/>
          <w:szCs w:val="21"/>
          <w:highlight w:val="auto"/>
        </w:rPr>
        <w:t>售价：</w:t>
      </w:r>
      <w:r>
        <w:rPr>
          <w:rFonts w:ascii="宋体" w:hint="eastAsia"/>
          <w:color w:val="auto"/>
          <w:szCs w:val="21"/>
          <w:lang w:val="en-US" w:eastAsia="zh-CN"/>
          <w:highlight w:val="auto"/>
        </w:rPr>
        <w:t>0元</w:t>
      </w:r>
    </w:p>
    <w:p>
      <w:pPr>
        <w:spacing w:line="360" w:lineRule="auto"/>
        <w:ind w:firstLine="540"/>
        <w:rPr>
          <w:rFonts w:ascii="宋体"/>
          <w:b/>
          <w:bCs/>
          <w:color w:val="auto"/>
          <w:szCs w:val="21"/>
          <w:highlight w:val="auto"/>
        </w:rPr>
      </w:pPr>
      <w:r>
        <w:rPr>
          <w:rFonts w:ascii="宋体" w:hint="eastAsia"/>
          <w:b/>
          <w:bCs/>
          <w:color w:val="auto"/>
          <w:szCs w:val="21"/>
          <w:highlight w:val="auto"/>
        </w:rPr>
        <w:t>获取文件时应提交企业法定代表人授权委托书或单位介绍信（留存）、营业执照复印件、</w:t>
      </w:r>
      <w:r>
        <w:rPr>
          <w:rFonts w:ascii="宋体" w:cs="楷体" w:hint="eastAsia"/>
          <w:b/>
          <w:bCs/>
          <w:color w:val="auto"/>
          <w:kern w:val="0"/>
          <w:szCs w:val="21"/>
          <w:highlight w:val="auto"/>
        </w:rPr>
        <w:t>单位联系方式</w:t>
      </w:r>
      <w:r>
        <w:rPr>
          <w:rFonts w:ascii="宋体" w:cs="楷体" w:hint="eastAsia"/>
          <w:b/>
          <w:bCs/>
          <w:color w:val="auto"/>
          <w:kern w:val="0"/>
          <w:szCs w:val="21"/>
          <w:lang w:eastAsia="zh-CN"/>
          <w:highlight w:val="auto"/>
        </w:rPr>
        <w:t>、</w:t>
      </w:r>
      <w:r>
        <w:rPr>
          <w:rFonts w:ascii="宋体" w:cs="楷体" w:hint="eastAsia"/>
          <w:b/>
          <w:bCs/>
          <w:color w:val="auto"/>
          <w:kern w:val="0"/>
          <w:szCs w:val="21"/>
          <w:lang w:val="en-US" w:eastAsia="zh-CN"/>
          <w:highlight w:val="auto"/>
        </w:rPr>
        <w:t>所投项目</w:t>
      </w:r>
      <w:r>
        <w:rPr>
          <w:rFonts w:ascii="宋体" w:cs="楷体" w:hint="eastAsia"/>
          <w:b/>
          <w:bCs/>
          <w:color w:val="auto"/>
          <w:kern w:val="0"/>
          <w:szCs w:val="21"/>
          <w:highlight w:val="auto"/>
        </w:rPr>
        <w:t>等</w:t>
      </w:r>
      <w:r>
        <w:rPr>
          <w:rFonts w:ascii="宋体" w:cs="楷体" w:hint="eastAsia"/>
          <w:b/>
          <w:bCs/>
          <w:color w:val="auto"/>
          <w:kern w:val="0"/>
          <w:szCs w:val="21"/>
          <w:lang w:val="en-US" w:eastAsia="zh-CN"/>
          <w:highlight w:val="auto"/>
        </w:rPr>
        <w:t>复印件加盖公章</w:t>
      </w:r>
      <w:r>
        <w:rPr>
          <w:rFonts w:ascii="宋体" w:hint="eastAsia"/>
          <w:b/>
          <w:bCs/>
          <w:color w:val="auto"/>
          <w:szCs w:val="21"/>
          <w:highlight w:val="auto"/>
        </w:rPr>
        <w:t>。</w:t>
      </w:r>
      <w:r>
        <w:rPr>
          <w:rFonts w:ascii="宋体" w:hint="eastAsia"/>
          <w:b/>
          <w:bCs/>
          <w:color w:val="auto"/>
          <w:szCs w:val="21"/>
          <w:lang w:val="en-US" w:eastAsia="zh-CN"/>
          <w:highlight w:val="auto"/>
        </w:rPr>
        <w:t>采用邮件报名的可将上述</w:t>
      </w:r>
      <w:r>
        <w:rPr>
          <w:rFonts w:ascii="宋体" w:hint="eastAsia"/>
          <w:b/>
          <w:bCs/>
          <w:color w:val="auto"/>
          <w:szCs w:val="21"/>
          <w:highlight w:val="auto"/>
        </w:rPr>
        <w:t>报名资料</w:t>
      </w:r>
      <w:r>
        <w:rPr>
          <w:rFonts w:ascii="宋体" w:hint="eastAsia"/>
          <w:b/>
          <w:bCs/>
          <w:color w:val="auto"/>
          <w:szCs w:val="21"/>
          <w:lang w:val="en-US" w:eastAsia="zh-CN"/>
          <w:highlight w:val="auto"/>
        </w:rPr>
        <w:t>扫描件</w:t>
      </w:r>
      <w:r>
        <w:rPr>
          <w:rStyle w:val="50"/>
          <w:rFonts w:ascii="宋体" w:hint="eastAsia"/>
          <w:b/>
          <w:bCs/>
          <w:color w:val="auto"/>
          <w:szCs w:val="21"/>
          <w:highlight w:val="auto"/>
        </w:rPr>
        <w:fldChar w:fldCharType="begin"/>
      </w:r>
      <w:r>
        <w:instrText>HYPERLINK "mailto:资料发至466740141@qq.com"</w:instrText>
      </w:r>
      <w:r>
        <w:rPr>
          <w:rStyle w:val="50"/>
          <w:rFonts w:ascii="宋体" w:hint="eastAsia"/>
          <w:b/>
          <w:bCs/>
          <w:color w:val="auto"/>
          <w:szCs w:val="21"/>
          <w:highlight w:val="auto"/>
        </w:rPr>
        <w:fldChar w:fldCharType="separate"/>
      </w:r>
      <w:r>
        <w:rPr>
          <w:rStyle w:val="50"/>
          <w:rFonts w:ascii="宋体" w:hint="eastAsia"/>
          <w:b/>
          <w:bCs/>
          <w:color w:val="auto"/>
          <w:szCs w:val="21"/>
          <w:highlight w:val="auto"/>
        </w:rPr>
        <w:t>发</w:t>
      </w:r>
      <w:r>
        <w:rPr>
          <w:rStyle w:val="50"/>
          <w:rFonts w:ascii="宋体" w:hint="eastAsia"/>
          <w:b/>
          <w:bCs/>
          <w:color w:val="auto"/>
          <w:szCs w:val="21"/>
          <w:lang w:val="en-US" w:eastAsia="zh-CN"/>
          <w:highlight w:val="auto"/>
        </w:rPr>
        <w:t>送</w:t>
      </w:r>
      <w:r>
        <w:rPr>
          <w:rStyle w:val="50"/>
          <w:rFonts w:ascii="宋体" w:hint="eastAsia"/>
          <w:b/>
          <w:bCs/>
          <w:color w:val="auto"/>
          <w:szCs w:val="21"/>
          <w:highlight w:val="auto"/>
        </w:rPr>
        <w:t>至376790573@qq.com</w:t>
      </w:r>
      <w:r>
        <w:rPr>
          <w:rStyle w:val="50"/>
          <w:rFonts w:ascii="宋体" w:hint="eastAsia"/>
          <w:b/>
          <w:bCs/>
          <w:color w:val="auto"/>
          <w:szCs w:val="21"/>
          <w:highlight w:val="auto"/>
        </w:rPr>
        <w:fldChar w:fldCharType="end"/>
      </w:r>
      <w:r>
        <w:rPr>
          <w:rFonts w:ascii="宋体" w:hint="eastAsia"/>
          <w:b/>
          <w:bCs/>
          <w:color w:val="auto"/>
          <w:szCs w:val="21"/>
          <w:highlight w:val="auto"/>
        </w:rPr>
        <w:t>邮箱。</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四、提交投标文件截止时间、开标时间和地点</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截止时间：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12</w:t>
      </w:r>
      <w:r>
        <w:rPr>
          <w:rFonts w:ascii="宋体" w:hint="eastAsia"/>
          <w:color w:val="auto"/>
          <w:szCs w:val="21"/>
          <w:u w:val="single"/>
          <w:highlight w:val="auto"/>
        </w:rPr>
        <w:t>月</w:t>
      </w:r>
      <w:r>
        <w:rPr>
          <w:rFonts w:ascii="宋体" w:hint="eastAsia"/>
          <w:color w:val="auto"/>
          <w:szCs w:val="21"/>
          <w:u w:val="single"/>
          <w:lang w:val="en-US" w:eastAsia="zh-CN"/>
          <w:highlight w:val="auto"/>
        </w:rPr>
        <w:t>17</w:t>
      </w:r>
      <w:r>
        <w:rPr>
          <w:rFonts w:ascii="宋体" w:hint="eastAsia"/>
          <w:color w:val="auto"/>
          <w:szCs w:val="21"/>
          <w:u w:val="single"/>
          <w:highlight w:val="auto"/>
        </w:rPr>
        <w:t>日</w:t>
      </w:r>
      <w:r>
        <w:rPr>
          <w:rFonts w:ascii="宋体" w:hint="eastAsia"/>
          <w:color w:val="auto"/>
          <w:szCs w:val="21"/>
          <w:u w:val="single"/>
          <w:lang w:val="en-US" w:eastAsia="zh-CN"/>
          <w:highlight w:val="auto"/>
        </w:rPr>
        <w:t>14</w:t>
      </w:r>
      <w:r>
        <w:rPr>
          <w:rFonts w:ascii="宋体" w:hint="eastAsia"/>
          <w:color w:val="auto"/>
          <w:szCs w:val="21"/>
          <w:u w:val="single"/>
          <w:highlight w:val="auto"/>
        </w:rPr>
        <w:t>点</w:t>
      </w:r>
      <w:r>
        <w:rPr>
          <w:rFonts w:ascii="宋体" w:hint="eastAsia"/>
          <w:color w:val="auto"/>
          <w:szCs w:val="21"/>
          <w:u w:val="single"/>
          <w:lang w:val="en-US" w:eastAsia="zh-CN"/>
          <w:highlight w:val="auto"/>
        </w:rPr>
        <w:t>0</w:t>
      </w:r>
      <w:r>
        <w:rPr>
          <w:rFonts w:ascii="宋体" w:hint="eastAsia"/>
          <w:color w:val="auto"/>
          <w:szCs w:val="21"/>
          <w:u w:val="single"/>
          <w:highlight w:val="auto"/>
        </w:rPr>
        <w:t>0分</w:t>
      </w:r>
      <w:r>
        <w:rPr>
          <w:rFonts w:ascii="宋体" w:cs="宋体" w:hint="eastAsia"/>
          <w:bCs/>
          <w:color w:val="auto"/>
          <w:kern w:val="0"/>
          <w:szCs w:val="21"/>
          <w:highlight w:val="auto"/>
        </w:rPr>
        <w:t>（北京时间）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开标时间：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12</w:t>
      </w:r>
      <w:r>
        <w:rPr>
          <w:rFonts w:ascii="宋体" w:hint="eastAsia"/>
          <w:color w:val="auto"/>
          <w:szCs w:val="21"/>
          <w:u w:val="single"/>
          <w:highlight w:val="auto"/>
        </w:rPr>
        <w:t>月</w:t>
      </w:r>
      <w:r>
        <w:rPr>
          <w:rFonts w:ascii="宋体" w:hint="eastAsia"/>
          <w:color w:val="auto"/>
          <w:szCs w:val="21"/>
          <w:u w:val="single"/>
          <w:lang w:val="en-US" w:eastAsia="zh-CN"/>
          <w:highlight w:val="auto"/>
        </w:rPr>
        <w:t>17</w:t>
      </w:r>
      <w:r>
        <w:rPr>
          <w:rFonts w:ascii="宋体" w:hint="eastAsia"/>
          <w:color w:val="auto"/>
          <w:szCs w:val="21"/>
          <w:u w:val="single"/>
          <w:highlight w:val="auto"/>
        </w:rPr>
        <w:t>日</w:t>
      </w:r>
      <w:r>
        <w:rPr>
          <w:rFonts w:ascii="宋体" w:hint="eastAsia"/>
          <w:color w:val="auto"/>
          <w:szCs w:val="21"/>
          <w:u w:val="single"/>
          <w:lang w:val="en-US" w:eastAsia="zh-CN"/>
          <w:highlight w:val="auto"/>
        </w:rPr>
        <w:t>14</w:t>
      </w:r>
      <w:r>
        <w:rPr>
          <w:rFonts w:ascii="宋体" w:hint="eastAsia"/>
          <w:color w:val="auto"/>
          <w:szCs w:val="21"/>
          <w:u w:val="single"/>
          <w:highlight w:val="auto"/>
        </w:rPr>
        <w:t>点</w:t>
      </w:r>
      <w:r>
        <w:rPr>
          <w:rFonts w:ascii="宋体" w:hint="eastAsia"/>
          <w:color w:val="auto"/>
          <w:szCs w:val="21"/>
          <w:u w:val="single"/>
          <w:lang w:val="en-US" w:eastAsia="zh-CN"/>
          <w:highlight w:val="auto"/>
        </w:rPr>
        <w:t>0</w:t>
      </w:r>
      <w:r>
        <w:rPr>
          <w:rFonts w:ascii="宋体" w:hint="eastAsia"/>
          <w:color w:val="auto"/>
          <w:szCs w:val="21"/>
          <w:u w:val="single"/>
          <w:highlight w:val="auto"/>
        </w:rPr>
        <w:t>0分</w:t>
      </w:r>
      <w:r>
        <w:rPr>
          <w:rFonts w:ascii="宋体" w:cs="宋体" w:hint="eastAsia"/>
          <w:bCs/>
          <w:color w:val="auto"/>
          <w:kern w:val="0"/>
          <w:szCs w:val="21"/>
          <w:highlight w:val="auto"/>
        </w:rPr>
        <w:t>（北京时间）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地点：大地工程咨询有限公司开标室（嘉兴市秀洲区洪波路1200号万豪广场12楼1204室），招标代理机构提前30分钟开始接收投标文件。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五、公告期限</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自本公告发布之日起5个工作日。</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六、其他补充事宜</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1.供应商认为采购文件使自己的权益受到损害的，可以自收到采购文件之日（发售截止日之后收到采购文件的，以发售截止日为准）或者采购文件公告期限届满之日（公告发布后的第7个工作日）起7个工作日内，以书面形式向采购人和采购代理机构提出质疑。</w:t>
      </w:r>
      <w:bookmarkStart w:id="6" w:name="_Toc10657"/>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2.投标人未被“信用中国”（www.creditchina.gov.cn)、中国政府采购网（www.ccgp.gov.cn）列入失信被执行人、重大税收违法失信主体、政府采购严重违法失信行为记录名单。</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3.未经报名登记并获取采购文件的供应商参与本项目投标，将被拒绝。</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4.本项目招标活动将严格落实节约能源、保护环境、扶持不发达地区和少数民族地区、促进中小企业发展、落实平等对待内外资企业等政府采购政策。</w:t>
      </w:r>
    </w:p>
    <w:p>
      <w:pPr>
        <w:pStyle w:val="22"/>
        <w:rPr>
          <w:color w:val="auto"/>
          <w:highlight w:val="auto"/>
        </w:rPr>
      </w:pPr>
    </w:p>
    <w:p>
      <w:pPr>
        <w:widowControl/>
        <w:spacing w:line="360" w:lineRule="auto"/>
        <w:jc w:val="left"/>
        <w:rPr>
          <w:rFonts w:ascii="宋体" w:cs="宋体"/>
          <w:b/>
          <w:bCs/>
          <w:color w:val="auto"/>
          <w:kern w:val="0"/>
          <w:szCs w:val="21"/>
          <w:highlight w:val="auto"/>
        </w:rPr>
      </w:pPr>
      <w:bookmarkEnd w:id="6"/>
      <w:r>
        <w:rPr>
          <w:rFonts w:ascii="宋体" w:cs="宋体" w:hint="eastAsia"/>
          <w:b/>
          <w:bCs/>
          <w:color w:val="auto"/>
          <w:kern w:val="0"/>
          <w:szCs w:val="21"/>
          <w:highlight w:val="auto"/>
        </w:rPr>
        <w:t>七、对本次招标提出询问，请按以下方式联系。</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1.采购人信息</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名    称：嘉兴海关综合技术服务中心</w:t>
      </w:r>
    </w:p>
    <w:p>
      <w:pPr>
        <w:widowControl/>
        <w:spacing w:line="360" w:lineRule="auto"/>
        <w:ind w:firstLineChars="200" w:firstLine="420"/>
        <w:jc w:val="left"/>
        <w:rPr>
          <w:rFonts w:ascii="宋体" w:eastAsia="宋体" w:cs="宋体" w:hint="eastAsia"/>
          <w:bCs/>
          <w:color w:val="auto"/>
          <w:kern w:val="0"/>
          <w:szCs w:val="21"/>
          <w:highlight w:val="auto"/>
        </w:rPr>
      </w:pPr>
      <w:r>
        <w:rPr>
          <w:rFonts w:ascii="宋体" w:eastAsia="宋体" w:cs="宋体" w:hint="eastAsia"/>
          <w:bCs/>
          <w:color w:val="auto"/>
          <w:kern w:val="0"/>
          <w:szCs w:val="21"/>
          <w:highlight w:val="auto"/>
        </w:rPr>
        <w:t>联系人：叶</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r>
        <w:rPr>
          <w:rFonts w:ascii="宋体" w:eastAsia="宋体" w:cs="宋体" w:hint="eastAsia"/>
          <w:bCs/>
          <w:color w:val="auto"/>
          <w:kern w:val="0"/>
          <w:szCs w:val="21"/>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联系电话：</w:t>
      </w:r>
      <w:r>
        <w:rPr>
          <w:rFonts w:ascii="宋体" w:eastAsia="宋体" w:cs="宋体" w:hint="eastAsia"/>
          <w:bCs/>
          <w:color w:val="auto"/>
          <w:kern w:val="0"/>
          <w:szCs w:val="21"/>
          <w:lang w:val="en-US" w:eastAsia="zh-CN"/>
          <w:highlight w:val="auto"/>
        </w:rPr>
        <w:t xml:space="preserve">0573-83611046 </w:t>
      </w:r>
    </w:p>
    <w:p>
      <w:pPr>
        <w:widowControl/>
        <w:spacing w:line="360" w:lineRule="auto"/>
        <w:ind w:firstLineChars="200" w:firstLine="420"/>
        <w:jc w:val="left"/>
        <w:rPr>
          <w:rFonts w:ascii="宋体" w:eastAsia="宋体" w:cs="宋体" w:hint="eastAsia"/>
          <w:bCs/>
          <w:color w:val="auto"/>
          <w:kern w:val="0"/>
          <w:szCs w:val="21"/>
          <w:lang w:eastAsia="zh-CN"/>
          <w:highlight w:val="auto"/>
        </w:rPr>
      </w:pPr>
      <w:r>
        <w:rPr>
          <w:rFonts w:ascii="宋体" w:eastAsia="宋体" w:cs="宋体" w:hint="eastAsia"/>
          <w:bCs/>
          <w:color w:val="auto"/>
          <w:kern w:val="0"/>
          <w:szCs w:val="21"/>
          <w:lang w:val="en-US" w:eastAsia="zh-CN"/>
          <w:highlight w:val="auto"/>
        </w:rPr>
        <w:t>质疑联系人：王</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监督投诉电话：</w:t>
      </w:r>
      <w:r>
        <w:rPr>
          <w:rFonts w:ascii="宋体" w:eastAsia="宋体" w:cs="宋体" w:hint="eastAsia"/>
          <w:bCs/>
          <w:color w:val="auto"/>
          <w:kern w:val="0"/>
          <w:szCs w:val="21"/>
          <w:lang w:val="en-US" w:eastAsia="zh-CN"/>
          <w:highlight w:val="auto"/>
        </w:rPr>
        <w:t xml:space="preserve">0573-83611110 </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地址：浙江省嘉兴市秀洲区昌盛中路516号</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2.采购代理机构信息</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名    称：大地工程咨询有限公司</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联系人：杨丽莉</w:t>
      </w:r>
    </w:p>
    <w:p>
      <w:pPr>
        <w:widowControl/>
        <w:spacing w:line="360" w:lineRule="auto"/>
        <w:ind w:firstLineChars="200" w:firstLine="420"/>
        <w:jc w:val="left"/>
        <w:rPr>
          <w:rFonts w:ascii="宋体" w:eastAsia="宋体" w:cs="宋体"/>
          <w:bCs/>
          <w:color w:val="auto"/>
          <w:kern w:val="0"/>
          <w:szCs w:val="21"/>
          <w:lang w:val="en-US" w:eastAsia="zh-CN"/>
          <w:highlight w:val="auto"/>
        </w:rPr>
      </w:pPr>
      <w:r>
        <w:rPr>
          <w:rFonts w:ascii="宋体" w:cs="宋体" w:hint="eastAsia"/>
          <w:bCs/>
          <w:color w:val="auto"/>
          <w:kern w:val="0"/>
          <w:szCs w:val="21"/>
          <w:highlight w:val="auto"/>
        </w:rPr>
        <w:t>联系电话：0573-82133572</w:t>
      </w:r>
      <w:r>
        <w:rPr>
          <w:rFonts w:ascii="宋体" w:cs="宋体" w:hint="eastAsia"/>
          <w:bCs/>
          <w:color w:val="auto"/>
          <w:kern w:val="0"/>
          <w:szCs w:val="21"/>
          <w:lang w:eastAsia="zh-CN"/>
          <w:highlight w:val="auto"/>
        </w:rPr>
        <w:t>、</w:t>
      </w:r>
      <w:r>
        <w:rPr>
          <w:rFonts w:ascii="宋体" w:cs="宋体" w:hint="eastAsia"/>
          <w:bCs/>
          <w:color w:val="auto"/>
          <w:kern w:val="0"/>
          <w:szCs w:val="21"/>
          <w:lang w:val="en-US" w:eastAsia="zh-CN"/>
          <w:highlight w:val="auto"/>
        </w:rPr>
        <w:t>15068182356</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传真：0573-82133572</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地址：嘉兴市秀洲区洪波路1200号万豪广场12楼1204室</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质疑联系人：李斌； 电话：0573-82133572</w:t>
      </w:r>
    </w:p>
    <w:p>
      <w:pPr>
        <w:widowControl/>
        <w:adjustRightInd w:val="0"/>
        <w:snapToGrid w:val="0"/>
        <w:spacing w:line="360" w:lineRule="auto"/>
        <w:ind w:firstLineChars="200" w:firstLine="420"/>
        <w:jc w:val="left"/>
        <w:rPr>
          <w:rFonts w:ascii="宋体" w:cs="楷体"/>
          <w:color w:val="auto"/>
          <w:kern w:val="0"/>
          <w:szCs w:val="21"/>
          <w:highlight w:val="auto"/>
        </w:rPr>
      </w:pPr>
    </w:p>
    <w:p>
      <w:pPr>
        <w:wordWrap w:val="0"/>
        <w:adjustRightInd w:val="0"/>
        <w:snapToGrid w:val="0"/>
        <w:spacing w:line="360" w:lineRule="auto"/>
        <w:ind w:firstLine="200"/>
        <w:jc w:val="center"/>
        <w:rPr>
          <w:rFonts w:ascii="宋体" w:cs="楷体"/>
          <w:color w:val="auto"/>
          <w:kern w:val="0"/>
          <w:szCs w:val="21"/>
          <w:highlight w:val="auto"/>
        </w:rPr>
      </w:pPr>
      <w:r>
        <w:rPr>
          <w:rFonts w:ascii="宋体" w:cs="宋体"/>
          <w:color w:val="auto"/>
          <w:kern w:val="0"/>
          <w:szCs w:val="21"/>
          <w:highlight w:val="auto"/>
        </w:rPr>
        <w:t xml:space="preserve">                                                </w:t>
      </w:r>
      <w:r>
        <w:rPr>
          <w:rFonts w:ascii="宋体" w:cs="楷体"/>
          <w:color w:val="auto"/>
          <w:kern w:val="0"/>
          <w:szCs w:val="21"/>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bookmarkStart w:id="7" w:name="_Toc107822483"/>
      <w:bookmarkStart w:id="8" w:name="_Toc226969276"/>
      <w:bookmarkStart w:id="9" w:name="_Toc227057883"/>
    </w:p>
    <w:p>
      <w:pPr>
        <w:adjustRightInd w:val="0"/>
        <w:snapToGrid w:val="0"/>
        <w:spacing w:beforeLines="50" w:before="156" w:afterLines="50" w:after="156" w:line="360" w:lineRule="auto"/>
        <w:jc w:val="center"/>
        <w:outlineLvl w:val="0"/>
        <w:rPr>
          <w:rFonts w:ascii="宋体"/>
          <w:b/>
          <w:color w:val="auto"/>
          <w:sz w:val="32"/>
          <w:szCs w:val="32"/>
          <w:highlight w:val="auto"/>
        </w:rPr>
      </w:pPr>
      <w:bookmarkStart w:id="10" w:name="_Toc8396"/>
      <w:bookmarkStart w:id="11" w:name="_Toc60757519"/>
      <w:r>
        <w:rPr>
          <w:rFonts w:ascii="宋体" w:hint="eastAsia"/>
          <w:b/>
          <w:color w:val="auto"/>
          <w:sz w:val="32"/>
          <w:szCs w:val="32"/>
          <w:highlight w:val="auto"/>
        </w:rPr>
        <w:t>第二章</w:t>
      </w:r>
      <w:r>
        <w:rPr>
          <w:rFonts w:ascii="宋体"/>
          <w:b/>
          <w:color w:val="auto"/>
          <w:sz w:val="32"/>
          <w:szCs w:val="32"/>
          <w:highlight w:val="auto"/>
        </w:rPr>
        <w:t xml:space="preserve">  </w:t>
      </w:r>
      <w:r>
        <w:rPr>
          <w:rFonts w:ascii="宋体" w:hint="eastAsia"/>
          <w:b/>
          <w:color w:val="auto"/>
          <w:sz w:val="32"/>
          <w:szCs w:val="32"/>
          <w:highlight w:val="auto"/>
        </w:rPr>
        <w:t>投标人须知</w:t>
      </w:r>
      <w:bookmarkEnd w:id="7"/>
      <w:bookmarkEnd w:id="8"/>
      <w:bookmarkEnd w:id="9"/>
      <w:bookmarkEnd w:id="10"/>
      <w:bookmarkEnd w:id="11"/>
    </w:p>
    <w:p>
      <w:pPr>
        <w:pStyle w:val="2"/>
        <w:numPr>
          <w:ilvl w:val="0"/>
          <w:numId w:val="0"/>
        </w:numPr>
        <w:tabs>
          <w:tab w:val="clear" w:pos="425"/>
        </w:tabs>
        <w:adjustRightInd w:val="0"/>
        <w:snapToGrid w:val="0"/>
        <w:spacing w:beforeLines="50" w:before="156" w:after="0" w:line="360" w:lineRule="auto"/>
        <w:ind w:left="567"/>
        <w:rPr>
          <w:rFonts w:ascii="宋体" w:eastAsia="宋体"/>
          <w:color w:val="auto"/>
          <w:sz w:val="21"/>
          <w:szCs w:val="21"/>
          <w:highlight w:val="auto"/>
        </w:rPr>
      </w:pPr>
      <w:bookmarkStart w:id="12" w:name="_Toc25811"/>
      <w:bookmarkStart w:id="13" w:name="_Toc60757520"/>
      <w:bookmarkStart w:id="14" w:name="_Toc226969277"/>
      <w:bookmarkStart w:id="15" w:name="_Toc227057884"/>
      <w:r>
        <w:rPr>
          <w:rFonts w:ascii="宋体" w:eastAsia="宋体" w:hint="eastAsia"/>
          <w:color w:val="auto"/>
          <w:sz w:val="21"/>
          <w:szCs w:val="21"/>
          <w:highlight w:val="auto"/>
        </w:rPr>
        <w:t>投标人须知前附表</w:t>
      </w:r>
      <w:bookmarkEnd w:id="12"/>
      <w:bookmarkEnd w:id="13"/>
      <w:bookmarkEnd w:id="14"/>
      <w:bookmarkEnd w:id="15"/>
    </w:p>
    <w:tbl>
      <w:tblPr>
        <w:jc w:val="center"/>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1800"/>
        <w:gridCol w:w="6383"/>
      </w:tblGrid>
      <w:tr>
        <w:trPr>
          <w:cantSplit/>
          <w:trHeight w:val="431"/>
          <w:tblHeader/>
        </w:trPr>
        <w:tc>
          <w:tcPr>
            <w:tcW w:w="648"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序号</w:t>
            </w:r>
          </w:p>
        </w:tc>
        <w:tc>
          <w:tcPr>
            <w:tcW w:w="1800"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项</w:t>
            </w:r>
            <w:r>
              <w:rPr>
                <w:rFonts w:ascii="宋体"/>
                <w:b/>
                <w:bCs/>
                <w:color w:val="auto"/>
                <w:szCs w:val="21"/>
                <w:highlight w:val="auto"/>
              </w:rPr>
              <w:t xml:space="preserve">   </w:t>
            </w:r>
            <w:r>
              <w:rPr>
                <w:rFonts w:ascii="宋体" w:hint="eastAsia"/>
                <w:b/>
                <w:bCs/>
                <w:color w:val="auto"/>
                <w:szCs w:val="21"/>
                <w:highlight w:val="auto"/>
              </w:rPr>
              <w:t>目</w:t>
            </w:r>
          </w:p>
        </w:tc>
        <w:tc>
          <w:tcPr>
            <w:tcW w:w="6383"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内</w:t>
            </w:r>
            <w:r>
              <w:rPr>
                <w:rFonts w:ascii="宋体"/>
                <w:b/>
                <w:bCs/>
                <w:color w:val="auto"/>
                <w:szCs w:val="21"/>
                <w:highlight w:val="auto"/>
              </w:rPr>
              <w:t xml:space="preserve">       </w:t>
            </w:r>
            <w:r>
              <w:rPr>
                <w:rFonts w:ascii="宋体" w:hint="eastAsia"/>
                <w:b/>
                <w:bCs/>
                <w:color w:val="auto"/>
                <w:szCs w:val="21"/>
                <w:highlight w:val="auto"/>
              </w:rPr>
              <w:t>容</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项目名称</w:t>
            </w:r>
          </w:p>
        </w:tc>
        <w:tc>
          <w:tcPr>
            <w:tcW w:w="6383" w:type="dxa"/>
            <w:tcBorders>
              <w:tl2br w:val="nil"/>
              <w:tr2bl w:val="nil"/>
            </w:tcBorders>
            <w:vAlign w:val="center"/>
          </w:tcPr>
          <w:p>
            <w:pPr>
              <w:adjustRightInd w:val="0"/>
              <w:snapToGrid w:val="0"/>
              <w:spacing w:line="360" w:lineRule="auto"/>
              <w:rPr>
                <w:rFonts w:ascii="宋体" w:eastAsia="宋体" w:cs="楷体" w:hint="eastAsia"/>
                <w:color w:val="auto"/>
                <w:kern w:val="0"/>
                <w:szCs w:val="21"/>
                <w:lang w:eastAsia="zh-CN"/>
                <w:highlight w:val="auto"/>
              </w:rPr>
            </w:pPr>
            <w:r>
              <w:rPr>
                <w:rFonts w:ascii="宋体" w:cs="楷体" w:hint="eastAsia"/>
                <w:color w:val="auto"/>
                <w:kern w:val="0"/>
                <w:szCs w:val="21"/>
                <w:lang w:eastAsia="zh-CN"/>
                <w:highlight w:val="auto"/>
              </w:rPr>
              <w:t>嘉兴海关综合技术服务中心2025年实验室仪器设备更新项目（一）（第三次）</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项目地点</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highlight w:val="auto"/>
              </w:rPr>
              <w:t>浙江嘉兴</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项目编号</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lang w:eastAsia="zh-CN"/>
                <w:highlight w:val="auto"/>
              </w:rPr>
              <w:t>大地-DDZX-JX（2025）第136号</w:t>
            </w:r>
            <w:r>
              <w:rPr>
                <w:rFonts w:ascii="宋体" w:cs="楷体"/>
                <w:color w:val="auto"/>
                <w:kern w:val="0"/>
                <w:szCs w:val="21"/>
                <w:highlight w:val="auto"/>
              </w:rPr>
              <w:t xml:space="preserve"> </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采购方式</w:t>
            </w:r>
          </w:p>
        </w:tc>
        <w:tc>
          <w:tcPr>
            <w:tcW w:w="6383" w:type="dxa"/>
            <w:tcBorders>
              <w:tl2br w:val="nil"/>
              <w:tr2bl w:val="nil"/>
            </w:tcBorders>
            <w:vAlign w:val="center"/>
          </w:tcPr>
          <w:p>
            <w:pPr>
              <w:adjustRightInd w:val="0"/>
              <w:snapToGrid w:val="0"/>
              <w:spacing w:line="360" w:lineRule="auto"/>
              <w:rPr>
                <w:rFonts w:ascii="宋体"/>
                <w:bCs/>
                <w:color w:val="auto"/>
                <w:szCs w:val="21"/>
                <w:highlight w:val="auto"/>
              </w:rPr>
            </w:pPr>
            <w:r>
              <w:rPr>
                <w:rFonts w:ascii="宋体" w:hint="eastAsia"/>
                <w:bCs/>
                <w:color w:val="auto"/>
                <w:szCs w:val="21"/>
                <w:highlight w:val="auto"/>
              </w:rPr>
              <w:t>公开招标</w:t>
            </w:r>
          </w:p>
        </w:tc>
      </w:tr>
      <w:tr>
        <w:trPr>
          <w:trHeight w:val="514"/>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招标内容</w:t>
            </w:r>
          </w:p>
        </w:tc>
        <w:tc>
          <w:tcPr>
            <w:tcW w:w="6383" w:type="dxa"/>
            <w:tcBorders>
              <w:tl2br w:val="nil"/>
              <w:tr2bl w:val="nil"/>
            </w:tcBorders>
            <w:vAlign w:val="center"/>
          </w:tcPr>
          <w:p>
            <w:pPr>
              <w:adjustRightInd w:val="0"/>
              <w:snapToGrid w:val="0"/>
              <w:spacing w:line="360" w:lineRule="auto"/>
              <w:rPr>
                <w:rFonts w:ascii="宋体" w:cs="楷体"/>
                <w:bCs/>
                <w:color w:val="auto"/>
                <w:kern w:val="0"/>
                <w:szCs w:val="21"/>
                <w:highlight w:val="auto"/>
              </w:rPr>
            </w:pPr>
            <w:r>
              <w:rPr>
                <w:rFonts w:ascii="宋体" w:hint="eastAsia"/>
                <w:color w:val="auto"/>
                <w:szCs w:val="21"/>
                <w:lang w:eastAsia="zh-CN"/>
                <w:highlight w:val="auto"/>
              </w:rPr>
              <w:t>嘉兴海关综合技术服务中心2025年实验室仪器设备更新项目（一）（第三次）</w:t>
            </w:r>
            <w:r>
              <w:rPr>
                <w:rFonts w:ascii="宋体"/>
                <w:color w:val="auto"/>
                <w:szCs w:val="21"/>
                <w:highlight w:val="auto"/>
              </w:rPr>
              <w:t>,</w:t>
            </w:r>
            <w:r>
              <w:rPr>
                <w:rFonts w:ascii="宋体" w:hint="eastAsia"/>
                <w:color w:val="auto"/>
                <w:szCs w:val="21"/>
                <w:highlight w:val="auto"/>
              </w:rPr>
              <w:t>详见采购文件</w:t>
            </w:r>
            <w:r>
              <w:rPr>
                <w:rFonts w:ascii="宋体" w:hint="eastAsia"/>
                <w:color w:val="auto"/>
                <w:szCs w:val="21"/>
                <w:lang w:eastAsia="zh-CN"/>
                <w:highlight w:val="auto"/>
              </w:rPr>
              <w:t>采购需求</w:t>
            </w:r>
            <w:r>
              <w:rPr>
                <w:rFonts w:ascii="宋体" w:hint="eastAsia"/>
                <w:color w:val="auto"/>
                <w:szCs w:val="21"/>
                <w:highlight w:val="auto"/>
              </w:rPr>
              <w:t>。</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交货期</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宋体" w:hint="eastAsia"/>
                <w:color w:val="auto"/>
                <w:spacing w:val="-6"/>
                <w:szCs w:val="21"/>
                <w:highlight w:val="auto"/>
              </w:rPr>
              <w:t>详见招标公告</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资金来源</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财政资金</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cs="宋体" w:hint="eastAsia"/>
                <w:color w:val="auto"/>
                <w:szCs w:val="21"/>
                <w:highlight w:val="auto"/>
              </w:rPr>
              <w:t>▲</w:t>
            </w:r>
            <w:r>
              <w:rPr>
                <w:rFonts w:ascii="宋体" w:hint="eastAsia"/>
                <w:color w:val="auto"/>
                <w:szCs w:val="21"/>
                <w:highlight w:val="auto"/>
              </w:rPr>
              <w:t>采购预算</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b/>
                <w:bCs/>
                <w:snapToGrid w:val="0"/>
                <w:color w:val="auto"/>
                <w:kern w:val="0"/>
                <w:szCs w:val="21"/>
                <w:highlight w:val="auto"/>
              </w:rPr>
              <w:t>本项目预算：</w:t>
            </w:r>
            <w:r>
              <w:rPr>
                <w:rFonts w:ascii="宋体" w:hint="eastAsia"/>
                <w:b/>
                <w:bCs/>
                <w:snapToGrid w:val="0"/>
                <w:color w:val="auto"/>
                <w:kern w:val="0"/>
                <w:szCs w:val="21"/>
                <w:lang w:eastAsia="zh-CN"/>
                <w:highlight w:val="auto"/>
              </w:rPr>
              <w:t>91.0000</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其中：</w:t>
            </w:r>
            <w:r>
              <w:rPr>
                <w:rFonts w:ascii="宋体" w:hint="eastAsia"/>
                <w:b/>
                <w:bCs/>
                <w:snapToGrid w:val="0"/>
                <w:color w:val="auto"/>
                <w:kern w:val="0"/>
                <w:szCs w:val="21"/>
                <w:highlight w:val="auto"/>
              </w:rPr>
              <w:t>平行浓缩仪</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10万元；</w:t>
            </w:r>
            <w:r>
              <w:rPr>
                <w:rFonts w:ascii="宋体" w:hint="eastAsia"/>
                <w:b/>
                <w:bCs/>
                <w:snapToGrid w:val="0"/>
                <w:color w:val="auto"/>
                <w:kern w:val="0"/>
                <w:szCs w:val="21"/>
                <w:highlight w:val="auto"/>
              </w:rPr>
              <w:t>旋转蒸发仪</w:t>
            </w:r>
            <w:r>
              <w:rPr>
                <w:rFonts w:ascii="宋体" w:hint="eastAsia"/>
                <w:b/>
                <w:bCs/>
                <w:snapToGrid w:val="0"/>
                <w:color w:val="auto"/>
                <w:kern w:val="0"/>
                <w:szCs w:val="21"/>
                <w:lang w:val="en-US" w:eastAsia="zh-CN"/>
                <w:highlight w:val="auto"/>
              </w:rPr>
              <w:t>1</w:t>
            </w:r>
            <w:r>
              <w:rPr>
                <w:rFonts w:ascii="宋体" w:hint="eastAsia"/>
                <w:b/>
                <w:bCs/>
                <w:snapToGrid w:val="0"/>
                <w:color w:val="auto"/>
                <w:kern w:val="0"/>
                <w:szCs w:val="21"/>
                <w:highlight w:val="auto"/>
              </w:rPr>
              <w:t>：</w:t>
            </w:r>
            <w:r>
              <w:rPr>
                <w:rFonts w:ascii="宋体" w:hint="eastAsia"/>
                <w:b/>
                <w:bCs/>
                <w:snapToGrid w:val="0"/>
                <w:color w:val="auto"/>
                <w:kern w:val="0"/>
                <w:szCs w:val="21"/>
                <w:lang w:val="en-US" w:eastAsia="zh-CN"/>
                <w:highlight w:val="auto"/>
              </w:rPr>
              <w:t>15</w:t>
            </w:r>
            <w:r>
              <w:rPr>
                <w:rFonts w:ascii="宋体" w:hint="eastAsia"/>
                <w:b/>
                <w:bCs/>
                <w:snapToGrid w:val="0"/>
                <w:color w:val="auto"/>
                <w:kern w:val="0"/>
                <w:szCs w:val="21"/>
                <w:highlight w:val="auto"/>
              </w:rPr>
              <w:t>万元；旋转蒸发仪</w:t>
            </w:r>
            <w:r>
              <w:rPr>
                <w:rFonts w:ascii="宋体" w:hint="eastAsia"/>
                <w:b/>
                <w:bCs/>
                <w:snapToGrid w:val="0"/>
                <w:color w:val="auto"/>
                <w:kern w:val="0"/>
                <w:szCs w:val="21"/>
                <w:lang w:val="en-US" w:eastAsia="zh-CN"/>
                <w:highlight w:val="auto"/>
              </w:rPr>
              <w:t>2</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19万元；</w:t>
            </w:r>
            <w:r>
              <w:rPr>
                <w:rFonts w:ascii="宋体" w:hint="eastAsia"/>
                <w:b/>
                <w:bCs/>
                <w:snapToGrid w:val="0"/>
                <w:color w:val="auto"/>
                <w:kern w:val="0"/>
                <w:szCs w:val="21"/>
                <w:highlight w:val="auto"/>
              </w:rPr>
              <w:t>研磨仪：</w:t>
            </w:r>
            <w:r>
              <w:rPr>
                <w:rFonts w:ascii="宋体" w:hint="eastAsia"/>
                <w:b/>
                <w:bCs/>
                <w:snapToGrid w:val="0"/>
                <w:color w:val="auto"/>
                <w:kern w:val="0"/>
                <w:szCs w:val="21"/>
                <w:lang w:val="en-US" w:eastAsia="zh-CN"/>
                <w:highlight w:val="auto"/>
              </w:rPr>
              <w:t>15</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highlight w:val="auto"/>
              </w:rPr>
              <w:t>凝胶色谱仪</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32</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p>
        </w:tc>
      </w:tr>
      <w:tr>
        <w:trPr>
          <w:trHeight w:val="98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资格审查方式</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资格后审。</w:t>
            </w:r>
          </w:p>
          <w:p>
            <w:pPr>
              <w:adjustRightInd w:val="0"/>
              <w:snapToGrid w:val="0"/>
              <w:spacing w:line="360" w:lineRule="auto"/>
              <w:rPr>
                <w:rFonts w:ascii="宋体"/>
                <w:color w:val="auto"/>
                <w:szCs w:val="21"/>
                <w:highlight w:val="auto"/>
              </w:rPr>
            </w:pPr>
            <w:r>
              <w:rPr>
                <w:rFonts w:ascii="宋体" w:hint="eastAsia"/>
                <w:color w:val="auto"/>
                <w:szCs w:val="21"/>
                <w:highlight w:val="auto"/>
              </w:rPr>
              <w:t>资格后审是指在开标后由评标委员会根据采购文件的规定对供应商进行的资格审查，资格后审不合格的供应商，由评标委员会对其投标作无效标处理。</w:t>
            </w:r>
          </w:p>
        </w:tc>
      </w:tr>
      <w:tr>
        <w:trPr>
          <w:trHeight w:val="120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踏勘现场</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采购人不组织现场踏勘。投标人如有需要，经采购人同意后可自行前往，踏勘期间发生的费用或意外导致伤亡等一切责任和损失均由投标人自负。</w:t>
            </w:r>
          </w:p>
        </w:tc>
      </w:tr>
      <w:tr>
        <w:trPr>
          <w:trHeight w:val="92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11</w:t>
            </w:r>
          </w:p>
        </w:tc>
        <w:tc>
          <w:tcPr>
            <w:tcW w:w="1800"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投标答疑</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供应商如认为采购文件表述不清晰，必须在</w:t>
            </w:r>
            <w:r>
              <w:rPr>
                <w:rFonts w:ascii="宋体" w:hint="eastAsia"/>
                <w:color w:val="C00000"/>
                <w:szCs w:val="21"/>
                <w:u w:val="single"/>
                <w:highlight w:val="auto"/>
              </w:rPr>
              <w:t>202</w:t>
            </w:r>
            <w:r>
              <w:rPr>
                <w:rFonts w:ascii="宋体" w:hint="eastAsia"/>
                <w:color w:val="C00000"/>
                <w:szCs w:val="21"/>
                <w:u w:val="single"/>
                <w:lang w:val="en-US" w:eastAsia="zh-CN"/>
                <w:highlight w:val="auto"/>
              </w:rPr>
              <w:t>5</w:t>
            </w:r>
            <w:r>
              <w:rPr>
                <w:rFonts w:ascii="宋体" w:hint="eastAsia"/>
                <w:color w:val="C00000"/>
                <w:szCs w:val="21"/>
                <w:u w:val="single"/>
                <w:highlight w:val="auto"/>
              </w:rPr>
              <w:t>年</w:t>
            </w:r>
            <w:r>
              <w:rPr>
                <w:rFonts w:ascii="宋体" w:hint="eastAsia"/>
                <w:color w:val="C00000"/>
                <w:szCs w:val="21"/>
                <w:u w:val="single"/>
                <w:lang w:val="en-US" w:eastAsia="zh-CN"/>
                <w:highlight w:val="auto"/>
              </w:rPr>
              <w:t>12</w:t>
            </w:r>
            <w:r>
              <w:rPr>
                <w:rFonts w:ascii="宋体" w:hint="eastAsia"/>
                <w:color w:val="C00000"/>
                <w:szCs w:val="21"/>
                <w:u w:val="single"/>
                <w:highlight w:val="auto"/>
              </w:rPr>
              <w:t>月</w:t>
            </w:r>
            <w:r>
              <w:rPr>
                <w:rFonts w:ascii="宋体" w:hint="eastAsia"/>
                <w:color w:val="C00000"/>
                <w:szCs w:val="21"/>
                <w:u w:val="single"/>
                <w:lang w:val="en-US" w:eastAsia="zh-CN"/>
                <w:highlight w:val="auto"/>
              </w:rPr>
              <w:t>2</w:t>
            </w:r>
            <w:r>
              <w:rPr>
                <w:rFonts w:ascii="宋体" w:hint="eastAsia"/>
                <w:color w:val="C00000"/>
                <w:szCs w:val="21"/>
                <w:u w:val="single"/>
                <w:highlight w:val="auto"/>
              </w:rPr>
              <w:t>日</w:t>
            </w:r>
            <w:r>
              <w:rPr>
                <w:rFonts w:ascii="宋体"/>
                <w:snapToGrid w:val="0"/>
                <w:color w:val="auto"/>
                <w:kern w:val="0"/>
                <w:szCs w:val="21"/>
                <w:highlight w:val="auto"/>
              </w:rPr>
              <w:t>17</w:t>
            </w:r>
            <w:r>
              <w:rPr>
                <w:rFonts w:ascii="宋体" w:hint="eastAsia"/>
                <w:snapToGrid w:val="0"/>
                <w:color w:val="auto"/>
                <w:kern w:val="0"/>
                <w:szCs w:val="21"/>
                <w:highlight w:val="auto"/>
              </w:rPr>
              <w:t>时之前、将要求答疑的问题盖章扫描后发送至376790573@qq.com并致电招标代理机构确认电话：0573-82133572</w:t>
            </w:r>
            <w:r>
              <w:rPr>
                <w:rFonts w:ascii="宋体" w:hint="eastAsia"/>
                <w:color w:val="auto"/>
                <w:szCs w:val="21"/>
                <w:lang w:val="zh-CN"/>
                <w:highlight w:val="auto"/>
              </w:rPr>
              <w:t>。</w:t>
            </w:r>
            <w:r>
              <w:rPr>
                <w:rFonts w:ascii="Times New Roman" w:eastAsia="宋体" w:cs="Times New Roman" w:hAnsi="Times New Roman"/>
                <w:color w:val="auto"/>
                <w:szCs w:val="21"/>
                <w:highlight w:val="auto"/>
              </w:rPr>
              <w:t>答疑回复内容是采购文件的组成部份，并将以</w:t>
            </w:r>
            <w:r>
              <w:rPr>
                <w:rFonts w:ascii="Times New Roman" w:eastAsia="宋体" w:cs="Times New Roman" w:hAnsi="Times New Roman" w:hint="eastAsia"/>
                <w:color w:val="auto"/>
                <w:szCs w:val="21"/>
                <w:highlight w:val="auto"/>
              </w:rPr>
              <w:t>更正公告的</w:t>
            </w:r>
            <w:r>
              <w:rPr>
                <w:rFonts w:ascii="Times New Roman" w:eastAsia="宋体" w:cs="Times New Roman" w:hAnsi="Times New Roman"/>
                <w:color w:val="auto"/>
                <w:szCs w:val="21"/>
                <w:highlight w:val="auto"/>
              </w:rPr>
              <w:t>形式</w:t>
            </w:r>
            <w:r>
              <w:rPr>
                <w:rFonts w:ascii="Times New Roman" w:eastAsia="宋体" w:cs="Times New Roman" w:hAnsi="Times New Roman" w:hint="eastAsia"/>
                <w:color w:val="auto"/>
                <w:szCs w:val="21"/>
                <w:highlight w:val="auto"/>
              </w:rPr>
              <w:t>在本采购公告发布的同一媒体发布，请供应商密切关注更正公告</w:t>
            </w:r>
            <w:r>
              <w:rPr>
                <w:rFonts w:ascii="宋体" w:hint="eastAsia"/>
                <w:color w:val="auto"/>
                <w:szCs w:val="21"/>
                <w:highlight w:val="auto"/>
              </w:rPr>
              <w:t>。</w:t>
            </w:r>
          </w:p>
        </w:tc>
      </w:tr>
      <w:tr>
        <w:trPr>
          <w:trHeight w:val="143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采购文件的澄清与修改</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在投标截止时间</w:t>
            </w:r>
            <w:r>
              <w:rPr>
                <w:rFonts w:ascii="宋体"/>
                <w:color w:val="auto"/>
                <w:szCs w:val="21"/>
                <w:highlight w:val="auto"/>
              </w:rPr>
              <w:t>15</w:t>
            </w:r>
            <w:r>
              <w:rPr>
                <w:rFonts w:ascii="宋体" w:hint="eastAsia"/>
                <w:color w:val="auto"/>
                <w:szCs w:val="21"/>
                <w:lang w:val="en-US" w:eastAsia="zh-CN"/>
                <w:highlight w:val="auto"/>
              </w:rPr>
              <w:t>日历天</w:t>
            </w:r>
            <w:r>
              <w:rPr>
                <w:rFonts w:ascii="宋体" w:hint="eastAsia"/>
                <w:color w:val="auto"/>
                <w:szCs w:val="21"/>
                <w:highlight w:val="auto"/>
              </w:rPr>
              <w:t>前，采购人有权澄清和修改采购文件，并以书面形式通知所有已购买采购文件的供应商。修改和澄清（答疑）答复的文件作为采购采购文件的补充和组成部分，对所有供应商均有约束力。</w:t>
            </w:r>
          </w:p>
        </w:tc>
      </w:tr>
      <w:tr>
        <w:trPr>
          <w:trHeight w:val="55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投标文件份数</w:t>
            </w:r>
          </w:p>
        </w:tc>
        <w:tc>
          <w:tcPr>
            <w:tcW w:w="6383" w:type="dxa"/>
            <w:tcBorders>
              <w:tl2br w:val="nil"/>
              <w:tr2bl w:val="nil"/>
            </w:tcBorders>
            <w:vAlign w:val="center"/>
          </w:tcPr>
          <w:p>
            <w:pPr>
              <w:adjustRightInd w:val="0"/>
              <w:snapToGrid w:val="0"/>
              <w:spacing w:line="360" w:lineRule="auto"/>
              <w:rPr>
                <w:rFonts w:ascii="宋体"/>
                <w:b/>
                <w:color w:val="auto"/>
                <w:szCs w:val="21"/>
                <w:highlight w:val="auto"/>
              </w:rPr>
            </w:pPr>
            <w:r>
              <w:rPr>
                <w:rFonts w:ascii="宋体" w:hint="eastAsia"/>
                <w:color w:val="auto"/>
                <w:szCs w:val="21"/>
                <w:highlight w:val="auto"/>
              </w:rPr>
              <w:t>纸质文件包括正本一份、副本四份，电子文档</w:t>
            </w:r>
            <w:r>
              <w:rPr>
                <w:rFonts w:ascii="宋体"/>
                <w:color w:val="auto"/>
                <w:szCs w:val="21"/>
                <w:highlight w:val="auto"/>
              </w:rPr>
              <w:t>U</w:t>
            </w:r>
            <w:r>
              <w:rPr>
                <w:rFonts w:ascii="宋体" w:hint="eastAsia"/>
                <w:color w:val="auto"/>
                <w:szCs w:val="21"/>
                <w:highlight w:val="auto"/>
              </w:rPr>
              <w:t>盘或光盘一份。</w:t>
            </w:r>
          </w:p>
        </w:tc>
      </w:tr>
      <w:tr>
        <w:trPr>
          <w:trHeight w:val="60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评标办法</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综合评分法</w:t>
            </w:r>
          </w:p>
        </w:tc>
      </w:tr>
      <w:tr>
        <w:trPr>
          <w:trHeight w:val="467"/>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投标文件递交地址及截止时间</w:t>
            </w:r>
          </w:p>
        </w:tc>
        <w:tc>
          <w:tcPr>
            <w:tcW w:w="6383" w:type="dxa"/>
            <w:tcBorders>
              <w:tl2br w:val="nil"/>
              <w:tr2bl w:val="nil"/>
            </w:tcBorders>
            <w:vAlign w:val="center"/>
          </w:tcPr>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地址：大地工程咨询有限公司（嘉兴市秀洲区洪波路1200号万豪广场12楼1204室）</w:t>
            </w:r>
            <w:r>
              <w:rPr>
                <w:rFonts w:ascii="宋体" w:cs="楷体" w:hint="eastAsia"/>
                <w:color w:val="auto"/>
                <w:kern w:val="0"/>
                <w:szCs w:val="21"/>
                <w:highlight w:val="auto"/>
              </w:rPr>
              <w:t>。</w:t>
            </w:r>
          </w:p>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时间：</w:t>
            </w:r>
            <w:r>
              <w:rPr>
                <w:rFonts w:ascii="宋体" w:cs="楷体" w:hint="eastAsia"/>
                <w:color w:val="auto"/>
                <w:kern w:val="0"/>
                <w:szCs w:val="21"/>
                <w:highlight w:val="auto"/>
              </w:rPr>
              <w:t>见招标公告。</w:t>
            </w:r>
          </w:p>
        </w:tc>
      </w:tr>
      <w:tr>
        <w:trPr>
          <w:trHeight w:val="912"/>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开标时间及地点</w:t>
            </w:r>
          </w:p>
        </w:tc>
        <w:tc>
          <w:tcPr>
            <w:tcW w:w="6383" w:type="dxa"/>
            <w:tcBorders>
              <w:tl2br w:val="nil"/>
              <w:tr2bl w:val="nil"/>
            </w:tcBorders>
            <w:vAlign w:val="center"/>
          </w:tcPr>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开标顺序：按照投标文件送达的先后顺序进行开标。</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开标程序：本项目分两阶段开标，具体如下：</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第一阶段：资格及商务技术文件开标；</w:t>
            </w:r>
          </w:p>
          <w:p>
            <w:pPr>
              <w:adjustRightInd w:val="0"/>
              <w:snapToGrid w:val="0"/>
              <w:spacing w:line="360" w:lineRule="auto"/>
              <w:rPr>
                <w:rFonts w:ascii="宋体" w:cs="楷体"/>
                <w:b/>
                <w:color w:val="auto"/>
                <w:kern w:val="0"/>
                <w:szCs w:val="21"/>
                <w:highlight w:val="auto"/>
              </w:rPr>
            </w:pPr>
            <w:r>
              <w:rPr>
                <w:rFonts w:ascii="宋体" w:cs="宋体" w:hint="eastAsia"/>
                <w:b/>
                <w:color w:val="auto"/>
                <w:szCs w:val="21"/>
                <w:highlight w:val="auto"/>
              </w:rPr>
              <w:t>时间：</w:t>
            </w:r>
            <w:r>
              <w:rPr>
                <w:rFonts w:ascii="宋体" w:cs="楷体" w:hint="eastAsia"/>
                <w:color w:val="auto"/>
                <w:kern w:val="0"/>
                <w:szCs w:val="21"/>
                <w:highlight w:val="auto"/>
              </w:rPr>
              <w:t>见招标公告</w:t>
            </w:r>
          </w:p>
          <w:p>
            <w:pPr>
              <w:adjustRightInd w:val="0"/>
              <w:snapToGrid w:val="0"/>
              <w:spacing w:line="360" w:lineRule="auto"/>
              <w:rPr>
                <w:rFonts w:ascii="宋体" w:cs="楷体"/>
                <w:snapToGrid w:val="0"/>
                <w:color w:val="auto"/>
                <w:kern w:val="0"/>
                <w:szCs w:val="21"/>
                <w:highlight w:val="auto"/>
              </w:rPr>
            </w:pPr>
            <w:r>
              <w:rPr>
                <w:rFonts w:ascii="宋体" w:cs="楷体" w:hint="eastAsia"/>
                <w:b/>
                <w:color w:val="auto"/>
                <w:kern w:val="0"/>
                <w:szCs w:val="21"/>
                <w:highlight w:val="auto"/>
              </w:rPr>
              <w:t>开标地点</w:t>
            </w:r>
            <w:r>
              <w:rPr>
                <w:rFonts w:ascii="宋体" w:cs="宋体" w:hint="eastAsia"/>
                <w:b/>
                <w:color w:val="auto"/>
                <w:szCs w:val="21"/>
                <w:highlight w:val="auto"/>
              </w:rPr>
              <w:t>：</w:t>
            </w:r>
            <w:r>
              <w:rPr>
                <w:rFonts w:ascii="宋体" w:cs="楷体" w:hint="eastAsia"/>
                <w:snapToGrid w:val="0"/>
                <w:color w:val="auto"/>
                <w:kern w:val="0"/>
                <w:szCs w:val="21"/>
                <w:highlight w:val="auto"/>
              </w:rPr>
              <w:t>大地工程咨询有限公司（嘉兴市秀洲区洪波路1200号万豪广场12楼1204室）。</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第二阶段：报价文件开标；</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时间：资格及商务技术文件评审结束后；</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地点：同第一阶段开标地点。</w:t>
            </w:r>
          </w:p>
          <w:p>
            <w:pPr>
              <w:adjustRightInd w:val="0"/>
              <w:snapToGrid w:val="0"/>
              <w:spacing w:line="360" w:lineRule="auto"/>
              <w:rPr>
                <w:rFonts w:ascii="宋体"/>
                <w:color w:val="auto"/>
                <w:szCs w:val="21"/>
                <w:highlight w:val="auto"/>
              </w:rPr>
            </w:pPr>
            <w:r>
              <w:rPr>
                <w:rFonts w:ascii="宋体" w:cs="宋体" w:hint="eastAsia"/>
                <w:b/>
                <w:color w:val="auto"/>
                <w:szCs w:val="21"/>
                <w:highlight w:val="auto"/>
              </w:rPr>
              <w:t>注：第一阶段评审过程中作无效标处理的，报价文件直接退还供应商。</w:t>
            </w:r>
          </w:p>
        </w:tc>
      </w:tr>
      <w:tr>
        <w:trPr>
          <w:trHeight w:val="67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投标有效期</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投标截止日后</w:t>
            </w:r>
            <w:r>
              <w:rPr>
                <w:rFonts w:ascii="宋体"/>
                <w:bCs/>
                <w:color w:val="auto"/>
                <w:szCs w:val="21"/>
                <w:highlight w:val="auto"/>
              </w:rPr>
              <w:t>90</w:t>
            </w:r>
            <w:r>
              <w:rPr>
                <w:rFonts w:ascii="宋体" w:hint="eastAsia"/>
                <w:bCs/>
                <w:color w:val="auto"/>
                <w:szCs w:val="21"/>
                <w:lang w:val="en-US" w:eastAsia="zh-CN"/>
                <w:highlight w:val="auto"/>
              </w:rPr>
              <w:t>日历天</w:t>
            </w:r>
            <w:r>
              <w:rPr>
                <w:rFonts w:ascii="宋体" w:hint="eastAsia"/>
                <w:color w:val="auto"/>
                <w:szCs w:val="21"/>
                <w:highlight w:val="auto"/>
              </w:rPr>
              <w:t>内有效，不足该有效期的，其投标视为无效标</w:t>
            </w:r>
          </w:p>
        </w:tc>
      </w:tr>
      <w:tr>
        <w:trPr>
          <w:trHeight w:val="44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履约保证金</w:t>
            </w:r>
          </w:p>
        </w:tc>
        <w:tc>
          <w:tcPr>
            <w:tcW w:w="6383" w:type="dxa"/>
            <w:tcBorders>
              <w:tl2br w:val="nil"/>
              <w:tr2bl w:val="nil"/>
            </w:tcBorders>
            <w:vAlign w:val="center"/>
          </w:tcPr>
          <w:p>
            <w:pPr>
              <w:pStyle w:val="28"/>
              <w:adjustRightInd w:val="0"/>
              <w:snapToGrid w:val="0"/>
              <w:spacing w:line="360" w:lineRule="auto"/>
              <w:rPr>
                <w:color w:val="auto"/>
                <w:kern w:val="2"/>
                <w:sz w:val="21"/>
                <w:szCs w:val="21"/>
                <w:highlight w:val="auto"/>
              </w:rPr>
            </w:pPr>
            <w:r>
              <w:rPr>
                <w:rFonts w:hint="eastAsia"/>
                <w:color w:val="auto"/>
                <w:kern w:val="2"/>
                <w:sz w:val="21"/>
                <w:szCs w:val="21"/>
                <w:highlight w:val="auto"/>
              </w:rPr>
              <w:t>详见合同</w:t>
            </w:r>
          </w:p>
        </w:tc>
      </w:tr>
      <w:tr>
        <w:trPr>
          <w:trHeight w:val="78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质疑</w:t>
            </w:r>
          </w:p>
        </w:tc>
        <w:tc>
          <w:tcPr>
            <w:tcW w:w="6383" w:type="dxa"/>
            <w:tcBorders>
              <w:tl2br w:val="nil"/>
              <w:tr2bl w:val="nil"/>
            </w:tcBorders>
            <w:vAlign w:val="center"/>
          </w:tcPr>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根据《中华人民共和国政府采购法》第五十二条、《中华人民共和国政府采购法实施条例》第五十三条、《政府采购质疑和投诉办法》的规定：</w:t>
            </w:r>
          </w:p>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投标人认为采购（招标）文件、采购过程、中标或者成交结果使自己的权益受到损害的，可以在知道或者应知其权益受到损害之日起</w:t>
            </w:r>
            <w:r>
              <w:rPr>
                <w:rFonts w:ascii="宋体" w:cs="宋体"/>
                <w:snapToGrid w:val="0"/>
                <w:color w:val="auto"/>
                <w:kern w:val="0"/>
                <w:szCs w:val="21"/>
                <w:highlight w:val="auto"/>
              </w:rPr>
              <w:t>7</w:t>
            </w:r>
            <w:r>
              <w:rPr>
                <w:rFonts w:ascii="宋体" w:cs="宋体" w:hint="eastAsia"/>
                <w:snapToGrid w:val="0"/>
                <w:color w:val="auto"/>
                <w:kern w:val="0"/>
                <w:szCs w:val="21"/>
                <w:highlight w:val="auto"/>
              </w:rPr>
              <w:t>个工作日内，以书面形式向采购人、采购代理机构提出质疑。</w:t>
            </w:r>
          </w:p>
          <w:p>
            <w:pPr>
              <w:adjustRightInd w:val="0"/>
              <w:snapToGrid w:val="0"/>
              <w:spacing w:line="360" w:lineRule="auto"/>
              <w:rPr>
                <w:rFonts w:ascii="宋体" w:cs="Courier New"/>
                <w:color w:val="auto"/>
                <w:szCs w:val="21"/>
                <w:highlight w:val="auto"/>
              </w:rPr>
            </w:pPr>
            <w:r>
              <w:rPr>
                <w:rFonts w:ascii="宋体" w:cs="宋体" w:hint="eastAsia"/>
                <w:snapToGrid w:val="0"/>
                <w:color w:val="auto"/>
                <w:kern w:val="0"/>
                <w:szCs w:val="21"/>
                <w:highlight w:val="auto"/>
              </w:rPr>
              <w:t>本项目要求投标人在法定质疑期内一次性提出针对同一采购程序环节的质疑。</w:t>
            </w:r>
          </w:p>
        </w:tc>
      </w:tr>
      <w:tr>
        <w:trPr>
          <w:trHeight w:val="41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投诉</w:t>
            </w:r>
          </w:p>
        </w:tc>
        <w:tc>
          <w:tcPr>
            <w:tcW w:w="6383" w:type="dxa"/>
            <w:tcBorders>
              <w:tl2br w:val="nil"/>
              <w:tr2bl w:val="nil"/>
            </w:tcBorders>
            <w:vAlign w:val="center"/>
          </w:tcPr>
          <w:p>
            <w:pPr>
              <w:spacing w:line="360" w:lineRule="auto"/>
              <w:rPr>
                <w:rFonts w:ascii="宋体" w:cs="Courier New"/>
                <w:color w:val="auto"/>
                <w:szCs w:val="21"/>
                <w:highlight w:val="auto"/>
              </w:rPr>
            </w:pPr>
            <w:r>
              <w:rPr>
                <w:rFonts w:ascii="宋体" w:cs="Courier New" w:hint="eastAsia"/>
                <w:color w:val="auto"/>
                <w:szCs w:val="21"/>
                <w:highlight w:val="auto"/>
              </w:rPr>
              <w:t>根据《政府采购法》第五十五条的规定，质疑供应商对招标人、采购代理机构的答复不满意或者招标人、采购代理机构未在规定的时间内作出答复的，可以在答复期满后十五个工作日内向同级政府采购监督管理部门投诉。</w:t>
            </w:r>
          </w:p>
        </w:tc>
      </w:tr>
      <w:tr>
        <w:trPr>
          <w:trHeight w:val="123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特别说明</w:t>
            </w:r>
          </w:p>
        </w:tc>
        <w:tc>
          <w:tcPr>
            <w:tcW w:w="6383" w:type="dxa"/>
            <w:tcBorders>
              <w:tl2br w:val="nil"/>
              <w:tr2bl w:val="nil"/>
            </w:tcBorders>
            <w:vAlign w:val="center"/>
          </w:tcPr>
          <w:p>
            <w:pPr>
              <w:pStyle w:val="28"/>
              <w:adjustRightInd w:val="0"/>
              <w:snapToGrid w:val="0"/>
              <w:spacing w:line="360" w:lineRule="auto"/>
              <w:rPr>
                <w:color w:val="auto"/>
                <w:sz w:val="21"/>
                <w:szCs w:val="21"/>
                <w:highlight w:val="auto"/>
              </w:rPr>
            </w:pPr>
            <w:r>
              <w:rPr>
                <w:b/>
                <w:bCs/>
                <w:color w:val="auto"/>
                <w:sz w:val="21"/>
                <w:szCs w:val="21"/>
                <w:highlight w:val="auto"/>
              </w:rPr>
              <w:t>1</w:t>
            </w:r>
            <w:r>
              <w:rPr>
                <w:rFonts w:hint="eastAsia"/>
                <w:b/>
                <w:bCs/>
                <w:color w:val="auto"/>
                <w:sz w:val="21"/>
                <w:szCs w:val="21"/>
                <w:highlight w:val="auto"/>
              </w:rPr>
              <w:t>、</w:t>
            </w:r>
            <w:r>
              <w:rPr>
                <w:rFonts w:hint="eastAsia"/>
                <w:b/>
                <w:color w:val="auto"/>
                <w:sz w:val="21"/>
                <w:szCs w:val="21"/>
                <w:highlight w:val="auto"/>
              </w:rPr>
              <w:t>投标人应无条件的、认真仔细的、不厌其烦的阅读本招标文件及其澄清答疑、修改答复的补充文件，严格按照招标及补充文件的规定和要求编制投标文件。</w:t>
            </w:r>
          </w:p>
          <w:p>
            <w:pPr>
              <w:pStyle w:val="28"/>
              <w:adjustRightInd w:val="0"/>
              <w:snapToGrid w:val="0"/>
              <w:spacing w:line="360" w:lineRule="auto"/>
              <w:rPr>
                <w:b/>
                <w:bCs/>
                <w:color w:val="auto"/>
                <w:sz w:val="21"/>
                <w:szCs w:val="21"/>
                <w:highlight w:val="auto"/>
              </w:rPr>
            </w:pPr>
            <w:r>
              <w:rPr>
                <w:b/>
                <w:bCs/>
                <w:color w:val="auto"/>
                <w:sz w:val="21"/>
                <w:szCs w:val="21"/>
                <w:highlight w:val="auto"/>
              </w:rPr>
              <w:t>2</w:t>
            </w:r>
            <w:r>
              <w:rPr>
                <w:rFonts w:hint="eastAsia"/>
                <w:b/>
                <w:bCs/>
                <w:color w:val="auto"/>
                <w:sz w:val="21"/>
                <w:szCs w:val="21"/>
                <w:highlight w:val="auto"/>
              </w:rPr>
              <w:t>、投标人如发现招标文件及其评标办法中存在含糊不清、相互矛盾、多种含义以及歧视性不公正条款或违法违规等内容时，请在招标答疑截止时间前同时向招标人、招标代理机构反映，逾期不得再对招标文件的条款提出质疑。</w:t>
            </w:r>
          </w:p>
          <w:p>
            <w:pPr>
              <w:pStyle w:val="28"/>
              <w:adjustRightInd w:val="0"/>
              <w:snapToGrid w:val="0"/>
              <w:spacing w:line="360" w:lineRule="auto"/>
              <w:rPr>
                <w:snapToGrid w:val="0"/>
                <w:color w:val="auto"/>
                <w:sz w:val="21"/>
                <w:szCs w:val="21"/>
                <w:highlight w:val="auto"/>
              </w:rPr>
            </w:pPr>
            <w:r>
              <w:rPr>
                <w:b/>
                <w:color w:val="auto"/>
                <w:kern w:val="2"/>
                <w:sz w:val="21"/>
                <w:szCs w:val="21"/>
                <w:highlight w:val="auto"/>
              </w:rPr>
              <w:t>3</w:t>
            </w:r>
            <w:r>
              <w:rPr>
                <w:rFonts w:hint="eastAsia"/>
                <w:b/>
                <w:color w:val="auto"/>
                <w:kern w:val="2"/>
                <w:sz w:val="21"/>
                <w:szCs w:val="21"/>
                <w:highlight w:val="auto"/>
              </w:rPr>
              <w:t>、该招标项目评标结果公示期间，投标人不得通过非正当途径、更不得通过非正当手段获取法律法规规定评标委员会（包括其他相关人员）应当保密的相关内容。即便由此获得资料并作为向招标人或招标代理机构或监督管理部门提出异（质）疑或投诉或法院起诉的理由，均属于非法（提供来源经核实为合法的除外）索取的依据。</w:t>
            </w:r>
          </w:p>
        </w:tc>
      </w:tr>
      <w:tr>
        <w:trPr>
          <w:trHeight w:val="409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招标代理服务费</w:t>
            </w:r>
          </w:p>
        </w:tc>
        <w:tc>
          <w:tcPr>
            <w:tcW w:w="6383" w:type="dxa"/>
            <w:tcBorders>
              <w:tl2br w:val="nil"/>
              <w:tr2bl w:val="nil"/>
            </w:tcBorders>
            <w:vAlign w:val="center"/>
          </w:tcPr>
          <w:p>
            <w:pPr>
              <w:pStyle w:val="28"/>
              <w:spacing w:line="360" w:lineRule="auto"/>
              <w:rPr>
                <w:snapToGrid w:val="0"/>
                <w:color w:val="auto"/>
                <w:sz w:val="21"/>
                <w:szCs w:val="21"/>
                <w:highlight w:val="auto"/>
              </w:rPr>
            </w:pPr>
            <w:r>
              <w:rPr>
                <w:rFonts w:hint="eastAsia"/>
                <w:snapToGrid w:val="0"/>
                <w:color w:val="auto"/>
                <w:sz w:val="21"/>
                <w:szCs w:val="21"/>
                <w:highlight w:val="auto"/>
              </w:rPr>
              <w:t>本项目招标代理费以项目中标价为收费基数，按《招标代理服务收费管理暂行办法》（计价格[2002]1980号）的70%收取,不足5000元按5000元计，由中标供应商在领取中标通知书后5个工作日内一次性支付给采购代理机构。</w:t>
            </w:r>
          </w:p>
          <w:p>
            <w:pPr>
              <w:pStyle w:val="28"/>
              <w:spacing w:line="360" w:lineRule="auto"/>
              <w:rPr>
                <w:snapToGrid w:val="0"/>
                <w:color w:val="auto"/>
                <w:sz w:val="21"/>
                <w:szCs w:val="21"/>
                <w:highlight w:val="auto"/>
              </w:rPr>
            </w:pPr>
            <w:r>
              <w:rPr>
                <w:rFonts w:hint="eastAsia"/>
                <w:snapToGrid w:val="0"/>
                <w:color w:val="auto"/>
                <w:sz w:val="21"/>
                <w:szCs w:val="21"/>
                <w:highlight w:val="auto"/>
              </w:rPr>
              <w:t>大地工程咨询有限公司中标服务费收取账号</w:t>
            </w:r>
          </w:p>
          <w:p>
            <w:pPr>
              <w:pStyle w:val="28"/>
              <w:spacing w:line="360" w:lineRule="auto"/>
              <w:rPr>
                <w:snapToGrid w:val="0"/>
                <w:color w:val="auto"/>
                <w:sz w:val="21"/>
                <w:szCs w:val="21"/>
                <w:highlight w:val="auto"/>
              </w:rPr>
            </w:pPr>
            <w:r>
              <w:rPr>
                <w:rFonts w:hint="eastAsia"/>
                <w:snapToGrid w:val="0"/>
                <w:color w:val="auto"/>
                <w:sz w:val="21"/>
                <w:szCs w:val="21"/>
                <w:highlight w:val="auto"/>
              </w:rPr>
              <w:t>户名：大地工程咨询有限公司嘉兴分公司</w:t>
            </w:r>
          </w:p>
          <w:p>
            <w:pPr>
              <w:pStyle w:val="28"/>
              <w:spacing w:line="360" w:lineRule="auto"/>
              <w:rPr>
                <w:snapToGrid w:val="0"/>
                <w:color w:val="auto"/>
                <w:sz w:val="21"/>
                <w:szCs w:val="21"/>
                <w:highlight w:val="auto"/>
              </w:rPr>
            </w:pPr>
            <w:r>
              <w:rPr>
                <w:rFonts w:hint="eastAsia"/>
                <w:snapToGrid w:val="0"/>
                <w:color w:val="auto"/>
                <w:sz w:val="21"/>
                <w:szCs w:val="21"/>
                <w:highlight w:val="auto"/>
              </w:rPr>
              <w:t xml:space="preserve">开户银行：浙江禾城农村商业银行股份有限公司南湖支行 </w:t>
            </w:r>
          </w:p>
          <w:p>
            <w:pPr>
              <w:pStyle w:val="28"/>
              <w:spacing w:line="360" w:lineRule="auto"/>
              <w:rPr>
                <w:b/>
                <w:color w:val="auto"/>
                <w:szCs w:val="21"/>
                <w:highlight w:val="auto"/>
              </w:rPr>
            </w:pPr>
            <w:r>
              <w:rPr>
                <w:rFonts w:hint="eastAsia"/>
                <w:snapToGrid w:val="0"/>
                <w:color w:val="auto"/>
                <w:sz w:val="21"/>
                <w:szCs w:val="21"/>
                <w:highlight w:val="auto"/>
              </w:rPr>
              <w:t xml:space="preserve">账号：201000264569242 </w:t>
            </w:r>
          </w:p>
        </w:tc>
      </w:tr>
      <w:tr>
        <w:trPr>
          <w:trHeight w:val="896"/>
        </w:trPr>
        <w:tc>
          <w:tcPr>
            <w:tcW w:w="648" w:type="dxa"/>
            <w:tcBorders>
              <w:tl2br w:val="nil"/>
              <w:tr2bl w:val="nil"/>
            </w:tcBorders>
            <w:vAlign w:val="center"/>
          </w:tcPr>
          <w:p>
            <w:pPr>
              <w:pStyle w:val="86"/>
              <w:spacing w:line="360" w:lineRule="auto"/>
              <w:rPr>
                <w:rFonts w:eastAsia="宋体" w:cs="宋体" w:hint="eastAsia"/>
                <w:color w:val="auto"/>
                <w:sz w:val="21"/>
                <w:szCs w:val="21"/>
                <w:lang w:eastAsia="zh-CN"/>
                <w:highlight w:val="auto"/>
              </w:rPr>
            </w:pPr>
            <w:r>
              <w:rPr>
                <w:rFonts w:cs="宋体"/>
                <w:color w:val="auto"/>
                <w:sz w:val="21"/>
                <w:szCs w:val="21"/>
                <w:highlight w:val="auto"/>
              </w:rPr>
              <w:t>2</w:t>
            </w:r>
            <w:r>
              <w:rPr>
                <w:rFonts w:cs="宋体" w:hint="eastAsia"/>
                <w:color w:val="auto"/>
                <w:sz w:val="21"/>
                <w:szCs w:val="21"/>
                <w:lang w:val="en-US" w:eastAsia="zh-CN"/>
                <w:highlight w:val="auto"/>
              </w:rPr>
              <w:t>3</w:t>
            </w:r>
          </w:p>
        </w:tc>
        <w:tc>
          <w:tcPr>
            <w:tcW w:w="1800" w:type="dxa"/>
            <w:tcBorders>
              <w:tl2br w:val="nil"/>
              <w:tr2bl w:val="nil"/>
            </w:tcBorders>
            <w:vAlign w:val="center"/>
          </w:tcPr>
          <w:p>
            <w:pPr>
              <w:adjustRightInd w:val="0"/>
              <w:snapToGrid w:val="0"/>
              <w:spacing w:line="360" w:lineRule="auto"/>
              <w:rPr>
                <w:rFonts w:ascii="宋体" w:cs="宋体"/>
                <w:color w:val="auto"/>
                <w:szCs w:val="21"/>
                <w:highlight w:val="auto"/>
              </w:rPr>
            </w:pPr>
            <w:r>
              <w:rPr>
                <w:rFonts w:ascii="宋体" w:cs="宋体" w:hint="eastAsia"/>
                <w:color w:val="auto"/>
                <w:szCs w:val="21"/>
                <w:highlight w:val="auto"/>
              </w:rPr>
              <w:t>公告发布媒体</w:t>
            </w:r>
          </w:p>
        </w:tc>
        <w:tc>
          <w:tcPr>
            <w:tcW w:w="6383" w:type="dxa"/>
            <w:tcBorders>
              <w:tl2br w:val="nil"/>
              <w:tr2bl w:val="nil"/>
            </w:tcBorders>
            <w:vAlign w:val="center"/>
          </w:tcPr>
          <w:p>
            <w:pPr>
              <w:spacing w:line="360" w:lineRule="auto"/>
              <w:rPr>
                <w:rFonts w:ascii="宋体" w:eastAsia="宋体"/>
                <w:color w:val="auto"/>
                <w:szCs w:val="21"/>
                <w:lang w:val="en-US" w:eastAsia="zh-CN"/>
                <w:highlight w:val="auto"/>
              </w:rPr>
            </w:pPr>
            <w:r>
              <w:rPr>
                <w:rFonts w:ascii="宋体" w:hint="eastAsia"/>
                <w:color w:val="auto"/>
                <w:szCs w:val="21"/>
                <w:highlight w:val="auto"/>
              </w:rPr>
              <w:t>中国政府采购网、浙江政府采购网</w:t>
            </w:r>
            <w:r>
              <w:rPr>
                <w:rFonts w:ascii="宋体" w:hint="eastAsia"/>
                <w:color w:val="auto"/>
                <w:szCs w:val="21"/>
                <w:lang w:eastAsia="zh-CN"/>
                <w:highlight w:val="auto"/>
              </w:rPr>
              <w:t>、</w:t>
            </w:r>
            <w:r>
              <w:rPr>
                <w:rFonts w:ascii="宋体" w:hint="eastAsia"/>
                <w:color w:val="auto"/>
                <w:szCs w:val="21"/>
                <w:lang w:val="en-US" w:eastAsia="zh-CN"/>
                <w:highlight w:val="auto"/>
              </w:rPr>
              <w:t>中华人民共和国杭州海关网站</w:t>
            </w:r>
          </w:p>
        </w:tc>
      </w:tr>
      <w:tr>
        <w:trPr>
          <w:trHeight w:val="1066"/>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4</w:t>
            </w:r>
          </w:p>
        </w:tc>
        <w:tc>
          <w:tcPr>
            <w:tcW w:w="1800" w:type="dxa"/>
            <w:tcBorders>
              <w:tl2br w:val="nil"/>
              <w:tr2bl w:val="nil"/>
            </w:tcBorders>
            <w:vAlign w:val="center"/>
          </w:tcPr>
          <w:p>
            <w:pPr>
              <w:adjustRightInd w:val="0"/>
              <w:spacing w:line="360" w:lineRule="auto"/>
              <w:rPr>
                <w:rFonts w:ascii="宋体"/>
                <w:b/>
                <w:color w:val="auto"/>
                <w:szCs w:val="21"/>
                <w:highlight w:val="auto"/>
              </w:rPr>
            </w:pPr>
            <w:r>
              <w:rPr>
                <w:rFonts w:ascii="宋体" w:cs="宋体" w:hint="eastAsia"/>
                <w:color w:val="auto"/>
                <w:szCs w:val="21"/>
                <w:highlight w:val="auto"/>
              </w:rPr>
              <w:t>其他</w:t>
            </w:r>
          </w:p>
        </w:tc>
        <w:tc>
          <w:tcPr>
            <w:tcW w:w="6383" w:type="dxa"/>
            <w:tcBorders>
              <w:tl2br w:val="nil"/>
              <w:tr2bl w:val="nil"/>
            </w:tcBorders>
            <w:vAlign w:val="center"/>
          </w:tcPr>
          <w:p>
            <w:pPr>
              <w:pStyle w:val="28"/>
              <w:spacing w:line="360" w:lineRule="auto"/>
              <w:rPr>
                <w:snapToGrid w:val="0"/>
                <w:color w:val="auto"/>
                <w:sz w:val="21"/>
                <w:szCs w:val="21"/>
                <w:highlight w:val="auto"/>
              </w:rPr>
            </w:pPr>
            <w:r>
              <w:rPr>
                <w:rFonts w:hint="eastAsia"/>
                <w:snapToGrid w:val="0"/>
                <w:color w:val="auto"/>
                <w:sz w:val="21"/>
                <w:szCs w:val="21"/>
                <w:highlight w:val="auto"/>
              </w:rPr>
              <w:t>是否允许采购进口产品：</w:t>
            </w:r>
            <w:r>
              <w:rPr>
                <w:rFonts w:hint="eastAsia"/>
                <w:color w:val="auto"/>
                <w:szCs w:val="21"/>
                <w:highlight w:val="auto"/>
              </w:rPr>
              <w:t>否</w:t>
            </w:r>
            <w:r>
              <w:rPr>
                <w:rFonts w:hint="eastAsia"/>
                <w:snapToGrid w:val="0"/>
                <w:color w:val="auto"/>
                <w:sz w:val="21"/>
                <w:szCs w:val="21"/>
                <w:highlight w:val="auto"/>
              </w:rPr>
              <w:t>。</w:t>
            </w:r>
          </w:p>
          <w:p>
            <w:pPr>
              <w:pStyle w:val="28"/>
              <w:spacing w:line="360" w:lineRule="auto"/>
              <w:rPr>
                <w:color w:val="auto"/>
                <w:sz w:val="21"/>
                <w:szCs w:val="21"/>
                <w:highlight w:val="auto"/>
              </w:rPr>
            </w:pPr>
            <w:r>
              <w:rPr>
                <w:rFonts w:hint="eastAsia"/>
                <w:color w:val="auto"/>
                <w:sz w:val="21"/>
                <w:szCs w:val="21"/>
                <w:highlight w:val="auto"/>
              </w:rPr>
              <w:t>本项目不适用节能</w:t>
            </w:r>
            <w:r>
              <w:rPr>
                <w:rFonts w:hint="eastAsia"/>
                <w:color w:val="auto"/>
                <w:sz w:val="21"/>
                <w:szCs w:val="21"/>
                <w:lang w:eastAsia="zh-CN"/>
                <w:highlight w:val="auto"/>
              </w:rPr>
              <w:t>、</w:t>
            </w:r>
            <w:r>
              <w:rPr>
                <w:rFonts w:hint="eastAsia"/>
                <w:color w:val="auto"/>
                <w:sz w:val="21"/>
                <w:szCs w:val="21"/>
                <w:lang w:val="en-US" w:eastAsia="zh-CN"/>
                <w:highlight w:val="auto"/>
              </w:rPr>
              <w:t>环保</w:t>
            </w:r>
            <w:r>
              <w:rPr>
                <w:rFonts w:hint="eastAsia"/>
                <w:color w:val="auto"/>
                <w:sz w:val="21"/>
                <w:szCs w:val="21"/>
                <w:highlight w:val="auto"/>
              </w:rPr>
              <w:t>产品条款。</w:t>
            </w:r>
          </w:p>
          <w:p>
            <w:pPr>
              <w:pStyle w:val="28"/>
              <w:spacing w:line="360" w:lineRule="auto"/>
              <w:rPr>
                <w:rFonts w:eastAsia="宋体"/>
                <w:color w:val="auto"/>
                <w:sz w:val="21"/>
                <w:szCs w:val="21"/>
                <w:lang w:val="en-US" w:eastAsia="zh-CN"/>
                <w:highlight w:val="auto"/>
              </w:rPr>
            </w:pPr>
            <w:r>
              <w:rPr>
                <w:rFonts w:hint="eastAsia"/>
                <w:b/>
                <w:bCs/>
                <w:snapToGrid w:val="0"/>
                <w:color w:val="auto"/>
                <w:sz w:val="21"/>
                <w:szCs w:val="21"/>
                <w:highlight w:val="auto"/>
              </w:rPr>
              <w:t>项目属性与核心产品：货物类，</w:t>
            </w:r>
            <w:r>
              <w:rPr>
                <w:rFonts w:hint="eastAsia"/>
                <w:b/>
                <w:bCs/>
                <w:snapToGrid w:val="0"/>
                <w:color w:val="auto"/>
                <w:sz w:val="21"/>
                <w:szCs w:val="21"/>
                <w:u w:val="single"/>
                <w:highlight w:val="auto"/>
              </w:rPr>
              <w:t>核心产品：旋转蒸发仪</w:t>
            </w:r>
            <w:r>
              <w:rPr>
                <w:rFonts w:hint="eastAsia"/>
                <w:b/>
                <w:bCs/>
                <w:snapToGrid w:val="0"/>
                <w:color w:val="auto"/>
                <w:sz w:val="21"/>
                <w:szCs w:val="21"/>
                <w:u w:val="single"/>
                <w:lang w:val="en-US" w:eastAsia="zh-CN"/>
                <w:highlight w:val="auto"/>
              </w:rPr>
              <w:t xml:space="preserve">1、旋转蒸发仪2   </w:t>
            </w:r>
          </w:p>
        </w:tc>
      </w:tr>
      <w:tr>
        <w:trPr>
          <w:trHeight w:val="1034"/>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5</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支持中小企业</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一、说明</w:t>
            </w:r>
          </w:p>
          <w:p>
            <w:pPr>
              <w:adjustRightInd w:val="0"/>
              <w:snapToGrid w:val="0"/>
              <w:spacing w:line="360" w:lineRule="auto"/>
              <w:rPr>
                <w:b/>
                <w:bCs/>
                <w:color w:val="auto"/>
                <w:highlight w:val="auto"/>
              </w:rPr>
            </w:pPr>
            <w:r>
              <w:rPr>
                <w:b/>
                <w:bCs/>
                <w:color w:val="auto"/>
                <w:highlight w:val="auto"/>
              </w:rPr>
              <w:t>1</w:t>
            </w:r>
            <w:r>
              <w:rPr>
                <w:rFonts w:hint="eastAsia"/>
                <w:b/>
                <w:bCs/>
                <w:color w:val="auto"/>
                <w:highlight w:val="auto"/>
              </w:rPr>
              <w:t>、企业类型</w:t>
            </w:r>
          </w:p>
          <w:p>
            <w:pPr>
              <w:adjustRightInd w:val="0"/>
              <w:snapToGrid w:val="0"/>
              <w:spacing w:line="360" w:lineRule="auto"/>
              <w:rPr>
                <w:b/>
                <w:bCs/>
                <w:color w:val="auto"/>
                <w:highlight w:val="auto"/>
              </w:rPr>
            </w:pPr>
            <w:r>
              <w:rPr>
                <w:rFonts w:hint="eastAsia"/>
                <w:b/>
                <w:bCs/>
                <w:color w:val="auto"/>
                <w:highlight w:val="auto"/>
              </w:rPr>
              <w:t>（</w:t>
            </w:r>
            <w:r>
              <w:rPr>
                <w:b/>
                <w:bCs/>
                <w:color w:val="auto"/>
                <w:highlight w:val="auto"/>
              </w:rPr>
              <w:t>1</w:t>
            </w:r>
            <w:r>
              <w:rPr>
                <w:rFonts w:hint="eastAsia"/>
                <w:b/>
                <w:bCs/>
                <w:color w:val="auto"/>
                <w:highlight w:val="auto"/>
              </w:rPr>
              <w:t>）中小企业</w:t>
            </w:r>
          </w:p>
          <w:p>
            <w:pPr>
              <w:adjustRightInd w:val="0"/>
              <w:snapToGrid w:val="0"/>
              <w:spacing w:line="360" w:lineRule="auto"/>
              <w:ind w:firstLineChars="200" w:firstLine="420"/>
              <w:rPr>
                <w:color w:val="auto"/>
                <w:highlight w:val="auto"/>
              </w:rPr>
            </w:pPr>
            <w:r>
              <w:rPr>
                <w:rFonts w:hint="eastAsia"/>
                <w:color w:val="auto"/>
                <w:highlight w:val="auto"/>
              </w:rPr>
              <w:t>中小企业是指在中华人民共和国境内依法设立，依据国务院批准的中小企业划分标准确定的中型企业、小型企业和微型企业，但与大企业的负责人为同一人，或者与大企业存在直接控股、管理关系的除外。</w:t>
            </w:r>
          </w:p>
          <w:p>
            <w:pPr>
              <w:adjustRightInd w:val="0"/>
              <w:snapToGrid w:val="0"/>
              <w:spacing w:line="360" w:lineRule="auto"/>
              <w:ind w:firstLineChars="200" w:firstLine="420"/>
              <w:rPr>
                <w:color w:val="auto"/>
                <w:highlight w:val="auto"/>
              </w:rPr>
            </w:pPr>
            <w:r>
              <w:rPr>
                <w:rFonts w:hint="eastAsia"/>
                <w:color w:val="auto"/>
                <w:highlight w:val="auto"/>
              </w:rPr>
              <w:t>符合中小企业划分标准的个体工商户，在政府采购活动中视同中小企业。</w:t>
            </w:r>
          </w:p>
          <w:p>
            <w:pPr>
              <w:adjustRightInd w:val="0"/>
              <w:snapToGrid w:val="0"/>
              <w:spacing w:line="360" w:lineRule="auto"/>
              <w:ind w:firstLineChars="200" w:firstLine="420"/>
              <w:rPr>
                <w:color w:val="auto"/>
                <w:highlight w:val="auto"/>
              </w:rPr>
            </w:pPr>
            <w:r>
              <w:rPr>
                <w:rFonts w:hint="eastAsia"/>
                <w:color w:val="auto"/>
                <w:highlight w:val="auto"/>
              </w:rPr>
              <w:t>符合上述条件的中小企业参加货物采购活动中，货物由中小企业制造，即货物由中小企业生产且使用该中小企业商号或者注册商标的，可享受相关中小企业扶持政策。</w:t>
            </w:r>
          </w:p>
          <w:p>
            <w:pPr>
              <w:adjustRightInd w:val="0"/>
              <w:snapToGrid w:val="0"/>
              <w:spacing w:line="360" w:lineRule="auto"/>
              <w:ind w:firstLineChars="200" w:firstLine="420"/>
              <w:rPr>
                <w:color w:val="auto"/>
                <w:highlight w:val="auto"/>
              </w:rPr>
            </w:pPr>
            <w:r>
              <w:rPr>
                <w:rFonts w:hint="eastAsia"/>
                <w:b/>
                <w:bCs/>
                <w:color w:val="auto"/>
                <w:highlight w:val="auto"/>
              </w:rPr>
              <w:t>在货物采购项目中，供应商提供的货物既有中小企业制造货物，也有大型企业制造货物的，不享受本办法规定的中小企业扶持政策</w:t>
            </w:r>
            <w:r>
              <w:rPr>
                <w:rFonts w:hint="eastAsia"/>
                <w:color w:val="auto"/>
                <w:highlight w:val="auto"/>
              </w:rPr>
              <w:t>。</w:t>
            </w:r>
          </w:p>
          <w:p>
            <w:pPr>
              <w:adjustRightInd w:val="0"/>
              <w:snapToGrid w:val="0"/>
              <w:spacing w:line="360" w:lineRule="auto"/>
              <w:ind w:firstLineChars="200" w:firstLine="420"/>
              <w:rPr>
                <w:color w:val="auto"/>
                <w:highlight w:val="auto"/>
              </w:rPr>
            </w:pPr>
            <w:r>
              <w:rPr>
                <w:rFonts w:hint="eastAsia"/>
                <w:color w:val="auto"/>
                <w:highlight w:val="auto"/>
              </w:rPr>
              <w:t>以联合体形式参加政府采购活动，联合体各方均为中小企业的，联合体视同中小企业。其中，联合体各方均为小微企业的，联合体视同小微企业。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2</w:t>
            </w:r>
            <w:r>
              <w:rPr>
                <w:rFonts w:hint="eastAsia"/>
                <w:b/>
                <w:bCs/>
                <w:color w:val="auto"/>
                <w:szCs w:val="22"/>
                <w:highlight w:val="auto"/>
              </w:rPr>
              <w:t>）残疾人福利性单位</w:t>
            </w:r>
          </w:p>
          <w:p>
            <w:pPr>
              <w:adjustRightInd w:val="0"/>
              <w:snapToGrid w:val="0"/>
              <w:spacing w:line="360" w:lineRule="auto"/>
              <w:ind w:firstLineChars="200" w:firstLine="420"/>
              <w:rPr>
                <w:color w:val="auto"/>
                <w:highlight w:val="auto"/>
              </w:rPr>
            </w:pPr>
            <w:r>
              <w:rPr>
                <w:rFonts w:hint="eastAsia"/>
                <w:color w:val="auto"/>
                <w:highlight w:val="auto"/>
              </w:rPr>
              <w:t>符合《关于促进残疾人就业政府采购政策的通知》（财库〔</w:t>
            </w:r>
            <w:r>
              <w:rPr>
                <w:color w:val="auto"/>
                <w:highlight w:val="auto"/>
              </w:rPr>
              <w:t>2017</w:t>
            </w:r>
            <w:r>
              <w:rPr>
                <w:rFonts w:hint="eastAsia"/>
                <w:color w:val="auto"/>
                <w:highlight w:val="auto"/>
              </w:rPr>
              <w:t>〕</w:t>
            </w:r>
            <w:r>
              <w:rPr>
                <w:color w:val="auto"/>
                <w:highlight w:val="auto"/>
              </w:rPr>
              <w:t>141</w:t>
            </w:r>
            <w:r>
              <w:rPr>
                <w:rFonts w:hint="eastAsia"/>
                <w:color w:val="auto"/>
                <w:highlight w:val="auto"/>
              </w:rPr>
              <w:t>号）规定的条件并提供《残疾人福利性单位声明函》的残疾人福利性单位视同小型、微型企业；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3</w:t>
            </w:r>
            <w:r>
              <w:rPr>
                <w:rFonts w:hint="eastAsia"/>
                <w:b/>
                <w:bCs/>
                <w:color w:val="auto"/>
                <w:szCs w:val="22"/>
                <w:highlight w:val="auto"/>
              </w:rPr>
              <w:t>）监狱企业</w:t>
            </w:r>
          </w:p>
          <w:p>
            <w:pPr>
              <w:adjustRightInd w:val="0"/>
              <w:snapToGrid w:val="0"/>
              <w:spacing w:line="360" w:lineRule="auto"/>
              <w:ind w:firstLineChars="200" w:firstLine="420"/>
              <w:rPr>
                <w:color w:val="auto"/>
                <w:highlight w:val="auto"/>
              </w:rPr>
            </w:pPr>
            <w:r>
              <w:rPr>
                <w:rFonts w:hint="eastAsia"/>
                <w:color w:val="auto"/>
                <w:highlight w:val="auto"/>
              </w:rPr>
              <w:t>根据《关于政府采购支持监狱企业发展有关问题的通知》（财库</w:t>
            </w:r>
            <w:r>
              <w:rPr>
                <w:color w:val="auto"/>
                <w:highlight w:val="auto"/>
              </w:rPr>
              <w:t>[2014]68</w:t>
            </w:r>
            <w:r>
              <w:rPr>
                <w:rFonts w:hint="eastAsia"/>
                <w:color w:val="auto"/>
                <w:highlight w:val="auto"/>
              </w:rPr>
              <w:t>号）的规定，投标人提供由省级以上监狱管理局、戒毒管理局（含新疆生产建设兵团）出具的属于监狱企业证明文件的，视同为小型和微型企业。</w:t>
            </w:r>
          </w:p>
          <w:p>
            <w:pPr>
              <w:adjustRightInd w:val="0"/>
              <w:snapToGrid w:val="0"/>
              <w:spacing w:line="360" w:lineRule="auto"/>
              <w:rPr>
                <w:b/>
                <w:bCs/>
                <w:color w:val="auto"/>
                <w:highlight w:val="auto"/>
              </w:rPr>
            </w:pPr>
            <w:r>
              <w:rPr>
                <w:rFonts w:hint="eastAsia"/>
                <w:b/>
                <w:bCs/>
                <w:color w:val="auto"/>
                <w:highlight w:val="auto"/>
              </w:rPr>
              <w:t>二、针对本项目的相关规定</w:t>
            </w:r>
          </w:p>
          <w:p>
            <w:pPr>
              <w:adjustRightInd w:val="0"/>
              <w:snapToGrid w:val="0"/>
              <w:spacing w:line="360" w:lineRule="auto"/>
              <w:ind w:firstLineChars="100" w:firstLine="210"/>
              <w:rPr>
                <w:rFonts w:ascii="宋体" w:eastAsia="宋体" w:cs="宋体"/>
                <w:snapToGrid w:val="0"/>
                <w:color w:val="auto"/>
                <w:kern w:val="0"/>
                <w:lang w:val="en-US" w:eastAsia="zh-CN"/>
                <w:highlight w:val="auto"/>
              </w:rPr>
            </w:pPr>
            <w:r>
              <w:rPr>
                <w:rFonts w:hint="eastAsia"/>
                <w:b/>
                <w:bCs/>
                <w:color w:val="auto"/>
                <w:lang w:val="en-US" w:eastAsia="zh-CN"/>
                <w:highlight w:val="auto"/>
              </w:rPr>
              <w:t>1</w:t>
            </w:r>
            <w:r>
              <w:rPr>
                <w:b/>
                <w:bCs/>
                <w:color w:val="auto"/>
                <w:highlight w:val="auto"/>
              </w:rPr>
              <w:t>.</w:t>
            </w:r>
            <w:r>
              <w:rPr>
                <w:rFonts w:hint="eastAsia"/>
                <w:b/>
                <w:bCs/>
                <w:color w:val="auto"/>
                <w:highlight w:val="auto"/>
              </w:rPr>
              <w:t>本项目采购标的对应的中小企业计划分标准所属行业为：</w:t>
            </w:r>
            <w:r>
              <w:rPr>
                <w:b/>
                <w:bCs/>
                <w:color w:val="auto"/>
                <w:u w:val="single"/>
                <w:highlight w:val="auto"/>
              </w:rPr>
              <w:t xml:space="preserve"> </w:t>
            </w:r>
            <w:r>
              <w:rPr>
                <w:rFonts w:hint="eastAsia"/>
                <w:b/>
                <w:bCs/>
                <w:color w:val="auto"/>
                <w:u w:val="single"/>
                <w:highlight w:val="auto"/>
              </w:rPr>
              <w:t>工业</w:t>
            </w:r>
            <w:r>
              <w:rPr>
                <w:b/>
                <w:bCs/>
                <w:color w:val="auto"/>
                <w:u w:val="single"/>
                <w:highlight w:val="auto"/>
              </w:rPr>
              <w:t xml:space="preserve"> </w:t>
            </w:r>
            <w:r>
              <w:rPr>
                <w:rFonts w:hint="eastAsia"/>
                <w:b/>
                <w:bCs/>
                <w:color w:val="auto"/>
                <w:highlight w:val="auto"/>
              </w:rPr>
              <w:t>。</w:t>
            </w:r>
            <w:r>
              <w:rPr>
                <w:rFonts w:hint="eastAsia"/>
                <w:b/>
                <w:bCs/>
                <w:color w:val="auto"/>
                <w:lang w:val="en-US" w:eastAsia="zh-CN"/>
                <w:highlight w:val="auto"/>
              </w:rPr>
              <w:t>本项目为</w:t>
            </w:r>
            <w:r>
              <w:rPr>
                <w:rFonts w:hint="eastAsia"/>
                <w:b/>
                <w:bCs/>
                <w:color w:val="auto"/>
                <w:u w:val="single"/>
                <w:lang w:val="en-US" w:eastAsia="zh-CN"/>
                <w:highlight w:val="auto"/>
              </w:rPr>
              <w:t>货物采购</w:t>
            </w:r>
            <w:r>
              <w:rPr>
                <w:rFonts w:hint="eastAsia"/>
                <w:b/>
                <w:bCs/>
                <w:color w:val="auto"/>
                <w:lang w:val="en-US" w:eastAsia="zh-CN"/>
                <w:highlight w:val="auto"/>
              </w:rPr>
              <w:t>。</w:t>
            </w:r>
          </w:p>
        </w:tc>
      </w:tr>
      <w:tr>
        <w:trPr>
          <w:trHeight w:val="1987"/>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6</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其他</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p>
        </w:tc>
      </w:tr>
      <w:tr>
        <w:trPr>
          <w:trHeight w:val="1072"/>
        </w:trPr>
        <w:tc>
          <w:tcPr>
            <w:tcW w:w="648" w:type="dxa"/>
            <w:tcBorders>
              <w:tl2br w:val="nil"/>
              <w:tr2bl w:val="nil"/>
            </w:tcBorders>
            <w:vAlign w:val="center"/>
          </w:tcPr>
          <w:p>
            <w:pPr>
              <w:pStyle w:val="78"/>
              <w:adjustRightInd/>
              <w:spacing w:line="360" w:lineRule="auto"/>
              <w:rPr>
                <w:rFonts w:eastAsia="宋体"/>
                <w:color w:val="auto"/>
                <w:sz w:val="21"/>
                <w:szCs w:val="21"/>
                <w:lang w:val="en-US" w:eastAsia="zh-CN"/>
                <w:highlight w:val="auto"/>
              </w:rPr>
            </w:pPr>
            <w:bookmarkStart w:id="16" w:name="_Toc227057885"/>
            <w:bookmarkStart w:id="17" w:name="_Toc488655831"/>
            <w:bookmarkStart w:id="18" w:name="_Toc226969278"/>
            <w:bookmarkStart w:id="19" w:name="_Toc107822484"/>
            <w:r>
              <w:rPr>
                <w:rFonts w:hint="eastAsia"/>
                <w:color w:val="auto"/>
                <w:sz w:val="21"/>
                <w:szCs w:val="21"/>
                <w:lang w:val="en-US" w:eastAsia="zh-CN"/>
                <w:highlight w:val="auto"/>
              </w:rPr>
              <w:t>27</w:t>
            </w:r>
          </w:p>
        </w:tc>
        <w:tc>
          <w:tcPr>
            <w:tcW w:w="1800" w:type="dxa"/>
            <w:tcBorders>
              <w:tl2br w:val="nil"/>
              <w:tr2bl w:val="nil"/>
            </w:tcBorders>
            <w:vAlign w:val="center"/>
          </w:tcPr>
          <w:p>
            <w:pPr>
              <w:adjustRightInd w:val="0"/>
              <w:snapToGrid w:val="0"/>
              <w:spacing w:line="360" w:lineRule="auto"/>
              <w:jc w:val="center"/>
              <w:rPr>
                <w:rFonts w:ascii="宋体" w:eastAsia="宋体" w:cs="宋体"/>
                <w:snapToGrid w:val="0"/>
                <w:color w:val="auto"/>
                <w:kern w:val="0"/>
                <w:lang w:val="en-US" w:eastAsia="zh-CN"/>
                <w:highlight w:val="auto"/>
              </w:rPr>
            </w:pPr>
            <w:r>
              <w:rPr>
                <w:rFonts w:ascii="宋体" w:cs="宋体" w:hint="eastAsia"/>
                <w:snapToGrid w:val="0"/>
                <w:color w:val="auto"/>
                <w:kern w:val="0"/>
                <w:lang w:val="en-US" w:eastAsia="zh-CN"/>
                <w:highlight w:val="auto"/>
              </w:rPr>
              <w:t>分包与转包</w:t>
            </w:r>
          </w:p>
        </w:tc>
        <w:tc>
          <w:tcPr>
            <w:tcW w:w="6383" w:type="dxa"/>
            <w:tcBorders>
              <w:tl2br w:val="nil"/>
              <w:tr2bl w:val="nil"/>
            </w:tcBorders>
            <w:vAlign w:val="center"/>
          </w:tcPr>
          <w:p>
            <w:pPr>
              <w:adjustRightInd w:val="0"/>
              <w:snapToGrid w:val="0"/>
              <w:spacing w:line="360" w:lineRule="auto"/>
              <w:rPr>
                <w:rFonts w:eastAsia="宋体" w:hint="eastAsia"/>
                <w:b/>
                <w:bCs/>
                <w:color w:val="auto"/>
                <w:lang w:val="en-US" w:eastAsia="zh-CN"/>
                <w:highlight w:val="auto"/>
              </w:rPr>
            </w:pPr>
            <w:r>
              <w:rPr>
                <w:rFonts w:hint="eastAsia"/>
                <w:b/>
                <w:bCs/>
                <w:color w:val="auto"/>
                <w:lang w:val="en-US" w:eastAsia="zh-CN"/>
                <w:highlight w:val="auto"/>
              </w:rPr>
              <w:t>不允许</w:t>
            </w:r>
          </w:p>
        </w:tc>
      </w:tr>
    </w:tbl>
    <w:p>
      <w:pPr>
        <w:adjustRightInd w:val="0"/>
        <w:snapToGrid w:val="0"/>
        <w:rPr>
          <w:rFonts w:ascii="宋体"/>
          <w:b/>
          <w:color w:val="auto"/>
          <w:sz w:val="24"/>
          <w:highlight w:val="auto"/>
        </w:rPr>
      </w:pPr>
      <w:r>
        <w:rPr>
          <w:rFonts w:ascii="宋体" w:hint="eastAsia"/>
          <w:snapToGrid w:val="0"/>
          <w:color w:val="auto"/>
          <w:kern w:val="0"/>
          <w:szCs w:val="21"/>
          <w:highlight w:val="auto"/>
        </w:rPr>
        <w:t>注：以上内容如有变化将另行书面通知。如通知其中某一内容发生变化，其余未提及的将不作变动。</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r>
        <w:rPr>
          <w:rFonts w:ascii="宋体" w:eastAsia="宋体"/>
          <w:b w:val="0"/>
          <w:color w:val="auto"/>
          <w:sz w:val="24"/>
          <w:szCs w:val="24"/>
          <w:highlight w:val="auto"/>
        </w:rPr>
        <w:br w:type="page"/>
      </w:r>
      <w:bookmarkStart w:id="20" w:name="_Toc367274977"/>
      <w:bookmarkStart w:id="21" w:name="_Toc240450077"/>
      <w:bookmarkStart w:id="22" w:name="_Toc60757521"/>
      <w:bookmarkStart w:id="23" w:name="_Toc17319"/>
      <w:bookmarkStart w:id="24" w:name="_Toc251566650"/>
      <w:r>
        <w:rPr>
          <w:rFonts w:ascii="宋体" w:eastAsia="宋体" w:hint="eastAsia"/>
          <w:snapToGrid w:val="0"/>
          <w:color w:val="auto"/>
          <w:sz w:val="21"/>
          <w:szCs w:val="21"/>
          <w:highlight w:val="auto"/>
        </w:rPr>
        <w:t>一、总则</w:t>
      </w:r>
      <w:bookmarkEnd w:id="20"/>
      <w:bookmarkEnd w:id="21"/>
      <w:bookmarkEnd w:id="22"/>
      <w:bookmarkEnd w:id="23"/>
      <w:bookmarkEnd w:id="24"/>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本次招标工作是按照《中华人民共和国政府采购法》等相关法律法规组织和实施，</w:t>
      </w:r>
      <w:r>
        <w:rPr>
          <w:rFonts w:ascii="宋体" w:hint="eastAsia"/>
          <w:color w:val="auto"/>
          <w:szCs w:val="21"/>
          <w:highlight w:val="auto"/>
        </w:rPr>
        <w:t>并由政府采购管理部门指导和监督</w:t>
      </w:r>
      <w:r>
        <w:rPr>
          <w:rFonts w:ascii="宋体" w:hint="eastAsia"/>
          <w:snapToGrid w:val="0"/>
          <w:color w:val="auto"/>
          <w:kern w:val="0"/>
          <w:szCs w:val="21"/>
          <w:highlight w:val="auto"/>
        </w:rPr>
        <w:t>。</w:t>
      </w:r>
    </w:p>
    <w:p>
      <w:pPr>
        <w:tabs>
          <w:tab w:val="left" w:pos="2520"/>
        </w:tabs>
        <w:adjustRightInd w:val="0"/>
        <w:snapToGrid w:val="0"/>
        <w:spacing w:line="360" w:lineRule="auto"/>
        <w:ind w:firstLineChars="200" w:firstLine="420"/>
        <w:rPr>
          <w:rFonts w:ascii="宋体"/>
          <w:b/>
          <w:snapToGrid w:val="0"/>
          <w:color w:val="auto"/>
          <w:kern w:val="0"/>
          <w:szCs w:val="21"/>
          <w:highlight w:val="auto"/>
        </w:rPr>
      </w:pPr>
      <w:bookmarkStart w:id="25" w:name="_Toc251566652"/>
      <w:bookmarkStart w:id="26" w:name="_Toc240450079"/>
      <w:r>
        <w:rPr>
          <w:rFonts w:ascii="宋体"/>
          <w:b/>
          <w:snapToGrid w:val="0"/>
          <w:color w:val="auto"/>
          <w:kern w:val="0"/>
          <w:szCs w:val="21"/>
          <w:highlight w:val="auto"/>
        </w:rPr>
        <w:t>1</w:t>
      </w:r>
      <w:r>
        <w:rPr>
          <w:rFonts w:ascii="宋体" w:hint="eastAsia"/>
          <w:b/>
          <w:snapToGrid w:val="0"/>
          <w:color w:val="auto"/>
          <w:kern w:val="0"/>
          <w:szCs w:val="21"/>
          <w:highlight w:val="auto"/>
        </w:rPr>
        <w:t>．适用范围</w:t>
      </w:r>
    </w:p>
    <w:p>
      <w:pPr>
        <w:tabs>
          <w:tab w:val="left" w:pos="2520"/>
        </w:tabs>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1.1 </w:t>
      </w:r>
      <w:r>
        <w:rPr>
          <w:rFonts w:ascii="宋体" w:hint="eastAsia"/>
          <w:snapToGrid w:val="0"/>
          <w:color w:val="auto"/>
          <w:kern w:val="0"/>
          <w:szCs w:val="21"/>
          <w:highlight w:val="auto"/>
        </w:rPr>
        <w:t>本采购文件仅适用于本次招标项目。</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1.2 </w:t>
      </w:r>
      <w:r>
        <w:rPr>
          <w:rFonts w:ascii="宋体" w:hint="eastAsia"/>
          <w:snapToGrid w:val="0"/>
          <w:color w:val="auto"/>
          <w:kern w:val="0"/>
          <w:szCs w:val="21"/>
          <w:highlight w:val="auto"/>
        </w:rPr>
        <w:t>本项目采购方式为公开招标。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w:t>
      </w:r>
      <w:r>
        <w:rPr>
          <w:rFonts w:ascii="宋体" w:hint="eastAsia"/>
          <w:b/>
          <w:snapToGrid w:val="0"/>
          <w:color w:val="auto"/>
          <w:kern w:val="0"/>
          <w:szCs w:val="21"/>
          <w:highlight w:val="auto"/>
        </w:rPr>
        <w:t>．定义</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2.1 </w:t>
      </w:r>
      <w:r>
        <w:rPr>
          <w:rFonts w:ascii="宋体" w:hint="eastAsia"/>
          <w:snapToGrid w:val="0"/>
          <w:color w:val="auto"/>
          <w:kern w:val="0"/>
          <w:szCs w:val="21"/>
          <w:highlight w:val="auto"/>
        </w:rPr>
        <w:t>“采购人”系指嘉兴海关综合技术服务中心。</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2.2 </w:t>
      </w:r>
      <w:r>
        <w:rPr>
          <w:rFonts w:ascii="宋体" w:hint="eastAsia"/>
          <w:snapToGrid w:val="0"/>
          <w:color w:val="auto"/>
          <w:kern w:val="0"/>
          <w:szCs w:val="21"/>
          <w:highlight w:val="auto"/>
        </w:rPr>
        <w:t>“采购代理机构”系指大地工程咨询有限公司。</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2.3 </w:t>
      </w:r>
      <w:r>
        <w:rPr>
          <w:rFonts w:ascii="宋体" w:hint="eastAsia"/>
          <w:snapToGrid w:val="0"/>
          <w:color w:val="auto"/>
          <w:kern w:val="0"/>
          <w:szCs w:val="21"/>
          <w:highlight w:val="auto"/>
        </w:rPr>
        <w:t>“供应商”系指响应本次招标，参加本次投标的非联合体供应商。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2.4 </w:t>
      </w:r>
      <w:r>
        <w:rPr>
          <w:rFonts w:ascii="宋体" w:hint="eastAsia"/>
          <w:snapToGrid w:val="0"/>
          <w:color w:val="auto"/>
          <w:kern w:val="0"/>
          <w:szCs w:val="21"/>
          <w:highlight w:val="auto"/>
        </w:rPr>
        <w:t>“货物”系指供应商按采购文件或合同要求，须向采购人提供的一切材料、设备、机械、仪器、备件、配件、工具、手册及其他技术资料和文字材料。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2.5 </w:t>
      </w:r>
      <w:r>
        <w:rPr>
          <w:rFonts w:ascii="宋体" w:hint="eastAsia"/>
          <w:snapToGrid w:val="0"/>
          <w:color w:val="auto"/>
          <w:kern w:val="0"/>
          <w:szCs w:val="21"/>
          <w:highlight w:val="auto"/>
        </w:rPr>
        <w:t>“服务”系指采购文件或合同规定供应商须承担的设计、制作、供货、安装、售后服务以及其他类似的义务。</w:t>
      </w:r>
    </w:p>
    <w:p>
      <w:pPr>
        <w:adjustRightInd w:val="0"/>
        <w:snapToGrid w:val="0"/>
        <w:spacing w:beforeLines="50" w:before="156" w:line="360" w:lineRule="auto"/>
        <w:ind w:firstLineChars="200" w:firstLine="420"/>
        <w:rPr>
          <w:rFonts w:ascii="宋体" w:cs="宋体"/>
          <w:b/>
          <w:snapToGrid w:val="0"/>
          <w:color w:val="auto"/>
          <w:kern w:val="0"/>
          <w:szCs w:val="21"/>
          <w:highlight w:val="auto"/>
        </w:rPr>
      </w:pPr>
      <w:r>
        <w:rPr>
          <w:rFonts w:ascii="宋体" w:cs="宋体"/>
          <w:b/>
          <w:snapToGrid w:val="0"/>
          <w:color w:val="auto"/>
          <w:kern w:val="0"/>
          <w:szCs w:val="21"/>
          <w:highlight w:val="auto"/>
        </w:rPr>
        <w:t>3</w:t>
      </w:r>
      <w:r>
        <w:rPr>
          <w:rFonts w:ascii="宋体" w:cs="宋体" w:hint="eastAsia"/>
          <w:b/>
          <w:snapToGrid w:val="0"/>
          <w:color w:val="auto"/>
          <w:kern w:val="0"/>
          <w:szCs w:val="21"/>
          <w:highlight w:val="auto"/>
        </w:rPr>
        <w:t>．合格的投标人及合格的投标货物和服务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3.1</w:t>
      </w:r>
      <w:r>
        <w:rPr>
          <w:rFonts w:ascii="宋体" w:cs="宋体" w:hint="eastAsia"/>
          <w:snapToGrid w:val="0"/>
          <w:color w:val="auto"/>
          <w:kern w:val="0"/>
          <w:highlight w:val="auto"/>
        </w:rPr>
        <w:t>合格的投标人，详见采购公告第二条规定的投标人必须具备的资格条件并经采购人或采购代理机构审查通过的。</w:t>
      </w:r>
    </w:p>
    <w:p>
      <w:pPr>
        <w:adjustRightInd w:val="0"/>
        <w:snapToGrid w:val="0"/>
        <w:spacing w:line="360" w:lineRule="auto"/>
        <w:ind w:firstLineChars="200" w:firstLine="420"/>
        <w:rPr>
          <w:rFonts w:ascii="宋体" w:cs="宋体"/>
          <w:b/>
          <w:bCs/>
          <w:snapToGrid w:val="0"/>
          <w:color w:val="auto"/>
          <w:kern w:val="0"/>
          <w:highlight w:val="auto"/>
        </w:rPr>
      </w:pPr>
      <w:r>
        <w:rPr>
          <w:rFonts w:ascii="宋体" w:cs="宋体"/>
          <w:b/>
          <w:bCs/>
          <w:snapToGrid w:val="0"/>
          <w:color w:val="auto"/>
          <w:kern w:val="0"/>
          <w:highlight w:val="auto"/>
        </w:rPr>
        <w:t>3.2</w:t>
      </w:r>
      <w:r>
        <w:rPr>
          <w:rFonts w:ascii="宋体" w:cs="宋体" w:hint="eastAsia"/>
          <w:b/>
          <w:bCs/>
          <w:snapToGrid w:val="0"/>
          <w:color w:val="auto"/>
          <w:kern w:val="0"/>
          <w:highlight w:val="auto"/>
        </w:rPr>
        <w:t>对投标人的限制</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3.2.1</w:t>
      </w:r>
      <w:r>
        <w:rPr>
          <w:rFonts w:ascii="宋体" w:cs="宋体" w:hint="eastAsia"/>
          <w:snapToGrid w:val="0"/>
          <w:color w:val="auto"/>
          <w:kern w:val="0"/>
          <w:highlight w:val="auto"/>
        </w:rPr>
        <w:t>单位负责人（指法定代表人或者法律、行政法规规定代表单位行使职权的主要负责人）为同一人或者存在直接控股、管理关系的不同供应商不得分别参加同一合同项下的采购活动。违反本条规定的，相关投标均无效；</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3.2.2</w:t>
      </w:r>
      <w:r>
        <w:rPr>
          <w:rFonts w:ascii="宋体" w:cs="宋体" w:hint="eastAsia"/>
          <w:snapToGrid w:val="0"/>
          <w:color w:val="auto"/>
          <w:kern w:val="0"/>
          <w:highlight w:val="auto"/>
        </w:rPr>
        <w:t>为本项目提供过整体设计、规范编制或者项目管理、监理、检测等服务的供应商，不得再参加该采购项目的其他采购活动（不包括为该项目提供整体设计、规范编制或者项目管理、监理、检测等服务）；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3.2.3</w:t>
      </w:r>
      <w:r>
        <w:rPr>
          <w:rFonts w:ascii="宋体" w:cs="宋体" w:hint="eastAsia"/>
          <w:snapToGrid w:val="0"/>
          <w:color w:val="auto"/>
          <w:kern w:val="0"/>
          <w:highlight w:val="auto"/>
        </w:rPr>
        <w:t>以联合体形式参加政府采购活动的，联合体各方不得再单独参加或者与其他投标人另外组成联合体参加同一合同项下的政府采购活动；</w:t>
      </w:r>
    </w:p>
    <w:p>
      <w:pPr>
        <w:adjustRightInd w:val="0"/>
        <w:snapToGrid w:val="0"/>
        <w:spacing w:line="360" w:lineRule="auto"/>
        <w:ind w:firstLineChars="200" w:firstLine="420"/>
        <w:rPr>
          <w:rFonts w:ascii="宋体"/>
          <w:snapToGrid w:val="0"/>
          <w:color w:val="auto"/>
          <w:kern w:val="0"/>
          <w:highlight w:val="auto"/>
        </w:rPr>
      </w:pPr>
      <w:r>
        <w:rPr>
          <w:rFonts w:ascii="宋体" w:cs="宋体"/>
          <w:snapToGrid w:val="0"/>
          <w:color w:val="auto"/>
          <w:kern w:val="0"/>
          <w:highlight w:val="auto"/>
        </w:rPr>
        <w:t>3.2.4</w:t>
      </w:r>
      <w:r>
        <w:rPr>
          <w:rFonts w:ascii="宋体" w:cs="宋体" w:hint="eastAsia"/>
          <w:snapToGrid w:val="0"/>
          <w:color w:val="auto"/>
          <w:kern w:val="0"/>
          <w:highlight w:val="auto"/>
        </w:rPr>
        <w:t>为证明投标人拥有的业绩、荣誉、知识产权、项目案例等而在投标文件中提供的证明材料必须为投标人自身所有。不同法人、其他组织的资料与投标人无关。</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4</w:t>
      </w:r>
      <w:r>
        <w:rPr>
          <w:rFonts w:ascii="宋体" w:hint="eastAsia"/>
          <w:b/>
          <w:snapToGrid w:val="0"/>
          <w:color w:val="auto"/>
          <w:kern w:val="0"/>
          <w:szCs w:val="21"/>
          <w:highlight w:val="auto"/>
        </w:rPr>
        <w:t>．相关说明</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4.1 </w:t>
      </w:r>
      <w:r>
        <w:rPr>
          <w:rFonts w:ascii="宋体" w:cs="宋体" w:hint="eastAsia"/>
          <w:snapToGrid w:val="0"/>
          <w:color w:val="auto"/>
          <w:kern w:val="0"/>
          <w:szCs w:val="21"/>
          <w:highlight w:val="auto"/>
        </w:rPr>
        <w:t>投标费用</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投标人应承担其参加投标所涉及的一切费用，不管投标结果如何，采购人对这些费用不负任何责任。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4.2 </w:t>
      </w:r>
      <w:r>
        <w:rPr>
          <w:rFonts w:ascii="宋体" w:cs="宋体" w:hint="eastAsia"/>
          <w:snapToGrid w:val="0"/>
          <w:color w:val="auto"/>
          <w:kern w:val="0"/>
          <w:szCs w:val="21"/>
          <w:highlight w:val="auto"/>
        </w:rPr>
        <w:t>投标人应仔细阅读采购文件的所有内容，按照采购文件的要求提交投标文件。投标文件应对采购文件的要求作出实质性响应，并对所提供的全部资料的真实性承担法律责任。</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4.3</w:t>
      </w:r>
      <w:r>
        <w:rPr>
          <w:rFonts w:ascii="宋体" w:cs="宋体" w:hint="eastAsia"/>
          <w:b/>
          <w:bCs/>
          <w:snapToGrid w:val="0"/>
          <w:color w:val="auto"/>
          <w:kern w:val="0"/>
          <w:szCs w:val="21"/>
          <w:highlight w:val="auto"/>
        </w:rPr>
        <w:t>投标人投标所使用的资格、信誉、荣誉、业绩与企业认证必须为本法人所拥有。投标人投标拟派项目实施人员必须为本法人员工。</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4.4</w:t>
      </w:r>
      <w:r>
        <w:rPr>
          <w:rFonts w:ascii="宋体" w:cs="宋体" w:hint="eastAsia"/>
          <w:b/>
          <w:bCs/>
          <w:snapToGrid w:val="0"/>
          <w:color w:val="auto"/>
          <w:kern w:val="0"/>
          <w:szCs w:val="21"/>
          <w:highlight w:val="auto"/>
        </w:rPr>
        <w:t>投标人应仔细阅读采购文件的所有内容，按照采购文件的要求提交投标文件，并对所提供的全部资料的真实性承担法律责任。</w:t>
      </w:r>
    </w:p>
    <w:p>
      <w:pPr>
        <w:adjustRightInd w:val="0"/>
        <w:snapToGrid w:val="0"/>
        <w:spacing w:line="360" w:lineRule="auto"/>
        <w:ind w:firstLineChars="200" w:firstLine="420"/>
        <w:rPr>
          <w:rFonts w:ascii="宋体"/>
          <w:snapToGrid w:val="0"/>
          <w:color w:val="auto"/>
          <w:kern w:val="0"/>
          <w:szCs w:val="21"/>
          <w:highlight w:val="auto"/>
        </w:rPr>
      </w:pPr>
      <w:r>
        <w:rPr>
          <w:rFonts w:ascii="宋体" w:cs="宋体"/>
          <w:b/>
          <w:bCs/>
          <w:snapToGrid w:val="0"/>
          <w:color w:val="auto"/>
          <w:kern w:val="0"/>
          <w:szCs w:val="21"/>
          <w:highlight w:val="auto"/>
        </w:rPr>
        <w:t>4.5</w:t>
      </w:r>
      <w:r>
        <w:rPr>
          <w:rFonts w:ascii="宋体" w:cs="宋体" w:hint="eastAsia"/>
          <w:b/>
          <w:bCs/>
          <w:snapToGrid w:val="0"/>
          <w:color w:val="auto"/>
          <w:kern w:val="0"/>
          <w:szCs w:val="21"/>
          <w:highlight w:val="auto"/>
        </w:rPr>
        <w:t>投标人在投标活动中提供任何虚假材料</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其投标无效，并报监管部门查处；中标后发现的</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按《政府采购货物和服务招标投标管理办法》（财政部令第</w:t>
      </w:r>
      <w:r>
        <w:rPr>
          <w:rFonts w:ascii="宋体" w:cs="宋体"/>
          <w:b/>
          <w:bCs/>
          <w:snapToGrid w:val="0"/>
          <w:color w:val="auto"/>
          <w:kern w:val="0"/>
          <w:szCs w:val="21"/>
          <w:highlight w:val="auto"/>
        </w:rPr>
        <w:t>87</w:t>
      </w:r>
      <w:r>
        <w:rPr>
          <w:rFonts w:ascii="宋体" w:cs="宋体" w:hint="eastAsia"/>
          <w:b/>
          <w:bCs/>
          <w:snapToGrid w:val="0"/>
          <w:color w:val="auto"/>
          <w:kern w:val="0"/>
          <w:szCs w:val="21"/>
          <w:highlight w:val="auto"/>
        </w:rPr>
        <w:t>号）相关规定承担相应的法律责任。</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27" w:name="_Toc367274978"/>
      <w:bookmarkStart w:id="28" w:name="_Toc60757522"/>
      <w:bookmarkStart w:id="29" w:name="_Toc28067"/>
      <w:bookmarkStart w:id="30" w:name="_Toc294777232"/>
      <w:bookmarkStart w:id="31" w:name="_Toc240450078"/>
      <w:bookmarkStart w:id="32" w:name="_Toc251566651"/>
      <w:r>
        <w:rPr>
          <w:rFonts w:ascii="宋体" w:eastAsia="宋体" w:hint="eastAsia"/>
          <w:snapToGrid w:val="0"/>
          <w:color w:val="auto"/>
          <w:sz w:val="21"/>
          <w:szCs w:val="21"/>
          <w:highlight w:val="auto"/>
        </w:rPr>
        <w:t>二、采购文件</w:t>
      </w:r>
      <w:bookmarkEnd w:id="27"/>
      <w:bookmarkEnd w:id="28"/>
      <w:bookmarkEnd w:id="29"/>
      <w:bookmarkEnd w:id="30"/>
      <w:bookmarkEnd w:id="31"/>
      <w:bookmarkEnd w:id="32"/>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5</w:t>
      </w:r>
      <w:r>
        <w:rPr>
          <w:rFonts w:ascii="宋体" w:hint="eastAsia"/>
          <w:b/>
          <w:snapToGrid w:val="0"/>
          <w:color w:val="auto"/>
          <w:kern w:val="0"/>
          <w:szCs w:val="21"/>
          <w:highlight w:val="auto"/>
        </w:rPr>
        <w:t>．采购文件构成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5.1 </w:t>
      </w:r>
      <w:r>
        <w:rPr>
          <w:rFonts w:ascii="宋体" w:hint="eastAsia"/>
          <w:snapToGrid w:val="0"/>
          <w:color w:val="auto"/>
          <w:kern w:val="0"/>
          <w:szCs w:val="21"/>
          <w:highlight w:val="auto"/>
        </w:rPr>
        <w:t>本采购文件包括目录所示内容及所有按本须知第</w:t>
      </w:r>
      <w:r>
        <w:rPr>
          <w:rFonts w:ascii="宋体"/>
          <w:snapToGrid w:val="0"/>
          <w:color w:val="auto"/>
          <w:kern w:val="0"/>
          <w:szCs w:val="21"/>
          <w:highlight w:val="auto"/>
        </w:rPr>
        <w:t>6</w:t>
      </w:r>
      <w:r>
        <w:rPr>
          <w:rFonts w:ascii="宋体" w:hint="eastAsia"/>
          <w:snapToGrid w:val="0"/>
          <w:color w:val="auto"/>
          <w:kern w:val="0"/>
          <w:szCs w:val="21"/>
          <w:highlight w:val="auto"/>
        </w:rPr>
        <w:t>、</w:t>
      </w:r>
      <w:r>
        <w:rPr>
          <w:rFonts w:ascii="宋体"/>
          <w:snapToGrid w:val="0"/>
          <w:color w:val="auto"/>
          <w:kern w:val="0"/>
          <w:szCs w:val="21"/>
          <w:highlight w:val="auto"/>
        </w:rPr>
        <w:t>7</w:t>
      </w:r>
      <w:r>
        <w:rPr>
          <w:rFonts w:ascii="宋体" w:hint="eastAsia"/>
          <w:snapToGrid w:val="0"/>
          <w:color w:val="auto"/>
          <w:kern w:val="0"/>
          <w:szCs w:val="21"/>
          <w:highlight w:val="auto"/>
        </w:rPr>
        <w:t>条发出的补充资料。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5.2 </w:t>
      </w:r>
      <w:r>
        <w:rPr>
          <w:rFonts w:ascii="宋体" w:hint="eastAsia"/>
          <w:snapToGrid w:val="0"/>
          <w:color w:val="auto"/>
          <w:kern w:val="0"/>
          <w:szCs w:val="21"/>
          <w:highlight w:val="auto"/>
        </w:rPr>
        <w:t>除上述所列内容外，采购人和采购代理机构的任何工作人员对供应商所作的任何口头解释、介绍、答复，只能供供应商参考，对采购人、采购代理机构和供应商无任何约束力。</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5.3 </w:t>
      </w:r>
      <w:r>
        <w:rPr>
          <w:rFonts w:ascii="宋体" w:hint="eastAsia"/>
          <w:snapToGrid w:val="0"/>
          <w:color w:val="auto"/>
          <w:kern w:val="0"/>
          <w:szCs w:val="21"/>
          <w:highlight w:val="auto"/>
        </w:rPr>
        <w:t>采购文件是招标过程进行的有效依据，也是中标后签订合同的依据，对双方均具有约束力，凡不遵守采购文件规定或对采购文件的实质性内容不响应的，将可能被拒绝或以无效标处理。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5.4 </w:t>
      </w:r>
      <w:r>
        <w:rPr>
          <w:rFonts w:ascii="宋体" w:hint="eastAsia"/>
          <w:snapToGrid w:val="0"/>
          <w:color w:val="auto"/>
          <w:kern w:val="0"/>
          <w:szCs w:val="21"/>
          <w:highlight w:val="auto"/>
        </w:rPr>
        <w:t>本采购文件由采购人或采购代理机构依据相关法律、法规、规章、省市规定及采购文件进行解释。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6</w:t>
      </w:r>
      <w:r>
        <w:rPr>
          <w:rFonts w:ascii="宋体" w:hint="eastAsia"/>
          <w:b/>
          <w:snapToGrid w:val="0"/>
          <w:color w:val="auto"/>
          <w:kern w:val="0"/>
          <w:szCs w:val="21"/>
          <w:highlight w:val="auto"/>
        </w:rPr>
        <w:t>．采购文件的澄清</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6.1 </w:t>
      </w:r>
      <w:r>
        <w:rPr>
          <w:rFonts w:ascii="宋体" w:hint="eastAsia"/>
          <w:snapToGrid w:val="0"/>
          <w:color w:val="auto"/>
          <w:kern w:val="0"/>
          <w:szCs w:val="21"/>
          <w:highlight w:val="auto"/>
        </w:rPr>
        <w:t>供应商在收到采购文件后，若有问题需要澄清或认为有必要与采购人进行技术交流，应于前附表规定的时间前，将问题发电子邮件至376790573@qq.com（电子邮件与书面文件有不一致的，以书面文件为准）。截止期后的疑问将不予受理、答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6.2 </w:t>
      </w:r>
      <w:r>
        <w:rPr>
          <w:rFonts w:ascii="宋体" w:hint="eastAsia"/>
          <w:snapToGrid w:val="0"/>
          <w:color w:val="auto"/>
          <w:kern w:val="0"/>
          <w:szCs w:val="21"/>
          <w:highlight w:val="auto"/>
        </w:rPr>
        <w:t>供应商要求解释或澄清的问题应以书面形式送达，并加盖公章、写明日期。</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6.3 </w:t>
      </w:r>
      <w:r>
        <w:rPr>
          <w:rFonts w:ascii="宋体" w:hint="eastAsia"/>
          <w:snapToGrid w:val="0"/>
          <w:color w:val="auto"/>
          <w:kern w:val="0"/>
          <w:szCs w:val="21"/>
          <w:highlight w:val="auto"/>
        </w:rPr>
        <w:t>所有要求解释或澄清的问题都予以解答，答疑文件与补充文件一起以书面形式告知所有购买采购文件的供应商。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7</w:t>
      </w:r>
      <w:r>
        <w:rPr>
          <w:rFonts w:ascii="宋体" w:hint="eastAsia"/>
          <w:b/>
          <w:snapToGrid w:val="0"/>
          <w:color w:val="auto"/>
          <w:kern w:val="0"/>
          <w:szCs w:val="21"/>
          <w:highlight w:val="auto"/>
        </w:rPr>
        <w:t>．采购文件的修改</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7.1 </w:t>
      </w:r>
      <w:r>
        <w:rPr>
          <w:rFonts w:ascii="宋体" w:hint="eastAsia"/>
          <w:snapToGrid w:val="0"/>
          <w:color w:val="auto"/>
          <w:kern w:val="0"/>
          <w:szCs w:val="21"/>
          <w:highlight w:val="auto"/>
        </w:rPr>
        <w:t>在投标截止期前</w:t>
      </w:r>
      <w:r>
        <w:rPr>
          <w:rFonts w:ascii="宋体"/>
          <w:snapToGrid w:val="0"/>
          <w:color w:val="auto"/>
          <w:kern w:val="0"/>
          <w:szCs w:val="21"/>
          <w:highlight w:val="auto"/>
        </w:rPr>
        <w:t>15</w:t>
      </w:r>
      <w:r>
        <w:rPr>
          <w:rFonts w:ascii="宋体" w:hint="eastAsia"/>
          <w:snapToGrid w:val="0"/>
          <w:color w:val="auto"/>
          <w:kern w:val="0"/>
          <w:szCs w:val="21"/>
          <w:lang w:val="en-US" w:eastAsia="zh-CN"/>
          <w:highlight w:val="auto"/>
        </w:rPr>
        <w:t>日历</w:t>
      </w:r>
      <w:r>
        <w:rPr>
          <w:rFonts w:ascii="宋体" w:hint="eastAsia"/>
          <w:snapToGrid w:val="0"/>
          <w:color w:val="auto"/>
          <w:kern w:val="0"/>
          <w:szCs w:val="21"/>
          <w:highlight w:val="auto"/>
        </w:rPr>
        <w:t>天，由于各种原因，不论是自己主动提出还是答复供应商的澄清要求，采购人可能会以补充文件的形式修改或完善采购文件。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7.2 </w:t>
      </w:r>
      <w:r>
        <w:rPr>
          <w:rFonts w:ascii="宋体" w:hint="eastAsia"/>
          <w:snapToGrid w:val="0"/>
          <w:color w:val="auto"/>
          <w:kern w:val="0"/>
          <w:szCs w:val="21"/>
          <w:highlight w:val="auto"/>
        </w:rPr>
        <w:t>采购文件的修改将以书面形式，通知所有</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采购文件的供应商，并对其具有约束力。供应商在收到上述通知后，应在</w:t>
      </w:r>
      <w:r>
        <w:rPr>
          <w:rFonts w:ascii="宋体"/>
          <w:snapToGrid w:val="0"/>
          <w:color w:val="auto"/>
          <w:kern w:val="0"/>
          <w:szCs w:val="21"/>
          <w:highlight w:val="auto"/>
        </w:rPr>
        <w:t>24</w:t>
      </w:r>
      <w:r>
        <w:rPr>
          <w:rFonts w:ascii="宋体" w:hint="eastAsia"/>
          <w:snapToGrid w:val="0"/>
          <w:color w:val="auto"/>
          <w:kern w:val="0"/>
          <w:szCs w:val="21"/>
          <w:highlight w:val="auto"/>
        </w:rPr>
        <w:t>小时内向采购代理机构回函确认。</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7.3 </w:t>
      </w:r>
      <w:r>
        <w:rPr>
          <w:rFonts w:ascii="宋体" w:hint="eastAsia"/>
          <w:snapToGrid w:val="0"/>
          <w:color w:val="auto"/>
          <w:kern w:val="0"/>
          <w:szCs w:val="21"/>
          <w:highlight w:val="auto"/>
        </w:rPr>
        <w:t>在补充文件发布后，如果供应商认为制作投标文件的时间不充分的，必须在收到补充文件</w:t>
      </w:r>
      <w:r>
        <w:rPr>
          <w:rFonts w:ascii="宋体"/>
          <w:snapToGrid w:val="0"/>
          <w:color w:val="auto"/>
          <w:kern w:val="0"/>
          <w:szCs w:val="21"/>
          <w:highlight w:val="auto"/>
        </w:rPr>
        <w:t>24</w:t>
      </w:r>
      <w:r>
        <w:rPr>
          <w:rFonts w:ascii="宋体" w:hint="eastAsia"/>
          <w:snapToGrid w:val="0"/>
          <w:color w:val="auto"/>
          <w:kern w:val="0"/>
          <w:szCs w:val="21"/>
          <w:highlight w:val="auto"/>
        </w:rPr>
        <w:t>小时内通知采购人和采购代理机构。否则，视同供应商有充足时间编制投标文件。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7.4 </w:t>
      </w:r>
      <w:r>
        <w:rPr>
          <w:rFonts w:ascii="宋体" w:hint="eastAsia"/>
          <w:snapToGrid w:val="0"/>
          <w:color w:val="auto"/>
          <w:kern w:val="0"/>
          <w:szCs w:val="21"/>
          <w:highlight w:val="auto"/>
        </w:rPr>
        <w:t>为使供应商编写投标文件时有充分的时间对采购文件的修改部分进行研究，采购人有权推迟投标截至时间和开标日期，并将此变更书面通知所有购买同一采购文件的供应商。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7.5 </w:t>
      </w:r>
      <w:r>
        <w:rPr>
          <w:rFonts w:ascii="宋体" w:hint="eastAsia"/>
          <w:snapToGrid w:val="0"/>
          <w:color w:val="auto"/>
          <w:kern w:val="0"/>
          <w:szCs w:val="21"/>
          <w:highlight w:val="auto"/>
        </w:rPr>
        <w:t>采购文件澄清、答复、修改、补充的内容为采购文件的组成部分。当采购文件与采购文件的答复、澄清、修改、补充通知就同一内容的表述不一致时，以最后发出的书面文件为准。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7.6 </w:t>
      </w:r>
      <w:r>
        <w:rPr>
          <w:rFonts w:ascii="宋体" w:hint="eastAsia"/>
          <w:snapToGrid w:val="0"/>
          <w:color w:val="auto"/>
          <w:kern w:val="0"/>
          <w:szCs w:val="21"/>
          <w:highlight w:val="auto"/>
        </w:rPr>
        <w:t>采购文件的澄清、答复、修改或补充都应该通过本代理机构以法定形式发布，除此以外的发布不属于采购文件的组成部分。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7.7 </w:t>
      </w:r>
      <w:r>
        <w:rPr>
          <w:rFonts w:ascii="宋体" w:hint="eastAsia"/>
          <w:snapToGrid w:val="0"/>
          <w:color w:val="auto"/>
          <w:kern w:val="0"/>
          <w:szCs w:val="21"/>
          <w:highlight w:val="auto"/>
        </w:rPr>
        <w:t>在采购文件</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截止后，经采购人同意</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采购文件的供应商不得对采购文件及其补充文件提出答疑或质疑。</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33" w:name="_Toc367274979"/>
      <w:bookmarkStart w:id="34" w:name="_Toc1721"/>
      <w:bookmarkStart w:id="35" w:name="_Toc60757523"/>
      <w:r>
        <w:rPr>
          <w:rFonts w:ascii="宋体" w:eastAsia="宋体" w:hint="eastAsia"/>
          <w:snapToGrid w:val="0"/>
          <w:color w:val="auto"/>
          <w:sz w:val="21"/>
          <w:szCs w:val="21"/>
          <w:highlight w:val="auto"/>
        </w:rPr>
        <w:t>三、投标文件的编制</w:t>
      </w:r>
      <w:bookmarkEnd w:id="25"/>
      <w:bookmarkEnd w:id="26"/>
      <w:bookmarkEnd w:id="33"/>
      <w:bookmarkEnd w:id="34"/>
      <w:bookmarkEnd w:id="35"/>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b/>
          <w:snapToGrid w:val="0"/>
          <w:color w:val="auto"/>
          <w:kern w:val="0"/>
          <w:szCs w:val="21"/>
          <w:highlight w:val="auto"/>
        </w:rPr>
        <w:t>供应商应认真阅读采购文件中所有的事项、格式、条款和技术要求等。如果供应商没有按照采购文件要求和规定编制投标文件及提交全部资料，或者投标没有对采购文件中各方面作出实质性响应，其风险应由供应商承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8</w:t>
      </w:r>
      <w:r>
        <w:rPr>
          <w:rFonts w:ascii="宋体" w:hint="eastAsia"/>
          <w:b/>
          <w:snapToGrid w:val="0"/>
          <w:color w:val="auto"/>
          <w:kern w:val="0"/>
          <w:szCs w:val="21"/>
          <w:highlight w:val="auto"/>
        </w:rPr>
        <w:t>．投标文件的语言及计量单位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8.1 </w:t>
      </w:r>
      <w:r>
        <w:rPr>
          <w:rFonts w:ascii="宋体" w:hint="eastAsia"/>
          <w:snapToGrid w:val="0"/>
          <w:color w:val="auto"/>
          <w:kern w:val="0"/>
          <w:szCs w:val="21"/>
          <w:highlight w:val="auto"/>
        </w:rPr>
        <w:t>投标文件及供应商与采购人之间与投标有关的来往通知、函件和文件均应使用简体中文。除签名、盖章、专用名称等特殊情形外，以中文汉语以外的文字表述的投标文件视同未提供。供应商提交的支持文件和印刷的文献可以用另一种语言，但相应内容应附有中文翻译文本，在解释投标文件时以中文翻译文本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8.2 </w:t>
      </w:r>
      <w:r>
        <w:rPr>
          <w:rFonts w:ascii="宋体" w:hint="eastAsia"/>
          <w:snapToGrid w:val="0"/>
          <w:color w:val="auto"/>
          <w:kern w:val="0"/>
          <w:szCs w:val="21"/>
          <w:highlight w:val="auto"/>
        </w:rPr>
        <w:t>除采购文件另有规定外，投标文件所使用的计量单位，均须采用中华人民共和国法定计量单位，否则视同未响应。</w:t>
      </w:r>
    </w:p>
    <w:p>
      <w:pPr>
        <w:adjustRightInd w:val="0"/>
        <w:snapToGrid w:val="0"/>
        <w:spacing w:line="360" w:lineRule="auto"/>
        <w:ind w:firstLineChars="200" w:firstLine="420"/>
        <w:rPr>
          <w:rFonts w:ascii="宋体" w:eastAsia="宋体" w:hint="eastAsia"/>
          <w:b/>
          <w:snapToGrid w:val="0"/>
          <w:color w:val="auto"/>
          <w:kern w:val="0"/>
          <w:szCs w:val="21"/>
          <w:u w:val="single"/>
          <w:lang w:eastAsia="zh-CN"/>
          <w:highlight w:val="auto"/>
        </w:rPr>
      </w:pPr>
      <w:r>
        <w:rPr>
          <w:rFonts w:ascii="宋体"/>
          <w:b/>
          <w:snapToGrid w:val="0"/>
          <w:color w:val="auto"/>
          <w:kern w:val="0"/>
          <w:szCs w:val="21"/>
          <w:highlight w:val="auto"/>
        </w:rPr>
        <w:t>9</w:t>
      </w:r>
      <w:r>
        <w:rPr>
          <w:rFonts w:ascii="宋体" w:hint="eastAsia"/>
          <w:b/>
          <w:snapToGrid w:val="0"/>
          <w:color w:val="auto"/>
          <w:kern w:val="0"/>
          <w:szCs w:val="21"/>
          <w:highlight w:val="auto"/>
        </w:rPr>
        <w:t>．投标文件构成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供应商向采购人递交的投标文件由资格文件、商务技术文件、报价文件三部分组成，其中</w:t>
      </w:r>
      <w:r>
        <w:rPr>
          <w:rFonts w:ascii="宋体" w:hint="eastAsia"/>
          <w:b/>
          <w:snapToGrid w:val="0"/>
          <w:color w:val="auto"/>
          <w:kern w:val="0"/>
          <w:szCs w:val="21"/>
          <w:highlight w:val="auto"/>
        </w:rPr>
        <w:t>报价文件需要单独装订成一册。（投标人不按照此要求装订文件的将被做无效标处理）</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9.1</w:t>
      </w:r>
      <w:r>
        <w:rPr>
          <w:rFonts w:ascii="宋体" w:cs="宋体" w:hint="eastAsia"/>
          <w:b/>
          <w:bCs/>
          <w:color w:val="auto"/>
          <w:szCs w:val="21"/>
          <w:highlight w:val="auto"/>
        </w:rPr>
        <w:t>资格文件</w:t>
      </w:r>
    </w:p>
    <w:p>
      <w:pPr>
        <w:tabs>
          <w:tab w:val="left" w:pos="720"/>
        </w:tabs>
        <w:adjustRightInd w:val="0"/>
        <w:snapToGrid w:val="0"/>
        <w:spacing w:line="360" w:lineRule="auto"/>
        <w:ind w:left="420"/>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如下为资格证明材料所需内容：</w:t>
      </w:r>
    </w:p>
    <w:p>
      <w:pPr>
        <w:snapToGrid w:val="0"/>
        <w:spacing w:line="360" w:lineRule="auto"/>
        <w:ind w:rightChars="20" w:right="42" w:firstLineChars="200" w:firstLine="420"/>
        <w:jc w:val="left"/>
        <w:rPr>
          <w:b/>
          <w:bCs/>
          <w:color w:val="auto"/>
          <w:sz w:val="21"/>
          <w:szCs w:val="21"/>
          <w:highlight w:val="auto"/>
        </w:rPr>
      </w:pPr>
      <w:r>
        <w:rPr>
          <w:rFonts w:ascii="宋体" w:eastAsia="宋体" w:hint="eastAsia"/>
          <w:color w:val="auto"/>
          <w:szCs w:val="21"/>
          <w:lang w:eastAsia="zh-CN"/>
          <w:highlight w:val="auto"/>
        </w:rPr>
        <w:t>（</w:t>
      </w:r>
      <w:r>
        <w:rPr>
          <w:rFonts w:ascii="宋体" w:eastAsia="宋体" w:hint="eastAsia"/>
          <w:color w:val="auto"/>
          <w:szCs w:val="21"/>
          <w:lang w:val="en-US" w:eastAsia="zh-CN"/>
          <w:highlight w:val="auto"/>
        </w:rPr>
        <w:t>1</w:t>
      </w:r>
      <w:r>
        <w:rPr>
          <w:rFonts w:ascii="宋体" w:eastAsia="宋体" w:hint="eastAsia"/>
          <w:color w:val="auto"/>
          <w:szCs w:val="21"/>
          <w:lang w:eastAsia="zh-CN"/>
          <w:highlight w:val="auto"/>
        </w:rPr>
        <w:t>）</w:t>
      </w:r>
      <w:r>
        <w:rPr>
          <w:rFonts w:ascii="宋体" w:eastAsia="宋体" w:hint="eastAsia"/>
          <w:color w:val="auto"/>
          <w:szCs w:val="21"/>
          <w:highlight w:val="auto"/>
        </w:rPr>
        <w:t>提供具有独立承担民事责任的能力、具有良好的商业信誉和健全的财务会计制度、具有履行合同所必需的设备和专业技术能力、有依法缴纳税收和社会保障资金的良好记录、参加政府采购活动前三年，在经营活动中没有重大违法记录（详见格式）的承诺书</w:t>
      </w:r>
      <w:r>
        <w:rPr>
          <w:rFonts w:hint="eastAsia"/>
          <w:b/>
          <w:bCs/>
          <w:color w:val="auto"/>
          <w:sz w:val="21"/>
          <w:szCs w:val="21"/>
          <w:highlight w:val="auto"/>
        </w:rPr>
        <w:t>。</w:t>
      </w:r>
    </w:p>
    <w:p>
      <w:pPr>
        <w:widowControl/>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w:t>
      </w:r>
      <w:r>
        <w:rPr>
          <w:rFonts w:ascii="宋体" w:cs="宋体"/>
          <w:b/>
          <w:snapToGrid w:val="0"/>
          <w:color w:val="auto"/>
          <w:kern w:val="0"/>
          <w:szCs w:val="21"/>
          <w:highlight w:val="auto"/>
        </w:rPr>
        <w:t>2</w:t>
      </w:r>
      <w:r>
        <w:rPr>
          <w:rFonts w:ascii="宋体" w:cs="宋体" w:hint="eastAsia"/>
          <w:b/>
          <w:snapToGrid w:val="0"/>
          <w:color w:val="auto"/>
          <w:kern w:val="0"/>
          <w:szCs w:val="21"/>
          <w:highlight w:val="auto"/>
        </w:rPr>
        <w:t>）</w:t>
      </w:r>
      <w:r>
        <w:rPr>
          <w:rFonts w:ascii="宋体" w:cs="宋体" w:hint="eastAsia"/>
          <w:b/>
          <w:bCs/>
          <w:color w:val="auto"/>
          <w:kern w:val="0"/>
          <w:szCs w:val="21"/>
          <w:highlight w:val="auto"/>
        </w:rPr>
        <w:t>落实政府采购政策需满足的资格要求：</w:t>
      </w:r>
      <w:r>
        <w:rPr>
          <w:rFonts w:ascii="宋体" w:cs="宋体" w:hint="eastAsia"/>
          <w:b/>
          <w:bCs/>
          <w:color w:val="auto"/>
          <w:kern w:val="0"/>
          <w:szCs w:val="21"/>
          <w:lang w:val="en-US" w:eastAsia="zh-CN"/>
          <w:highlight w:val="auto"/>
        </w:rPr>
        <w:t>专门面向中小企业；</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snapToGrid w:val="0"/>
          <w:color w:val="auto"/>
          <w:kern w:val="0"/>
          <w:szCs w:val="21"/>
          <w:highlight w:val="auto"/>
        </w:rPr>
        <w:t>（3）特定资格条件：</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提供网站截图）。（代理机构以开标当日在“信用中国”网站（www.creditchina.gov.cn）、中国政府采购网（www.ccgp.gov.cn）网页查询记录为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对列入失信被执行人、重大税收违法失信主体、政府采购严重违法失信行为记录名单的供应商，其投标将作无效标处理。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3</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 xml:space="preserve">中小企业声明函； </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中小企业应当按照《政府采购促进中小企业发展管理办法》规定和《中小企业划型标准规定》（工信部联企业〔2011〕300号），如实填写并提交《中小企业声明函》。未按要求出具声明函的，</w:t>
      </w:r>
      <w:r>
        <w:rPr>
          <w:rFonts w:ascii="宋体" w:cs="宋体" w:hint="eastAsia"/>
          <w:b/>
          <w:bCs/>
          <w:color w:val="auto"/>
          <w:kern w:val="0"/>
          <w:szCs w:val="21"/>
          <w:lang w:val="en-US" w:eastAsia="zh-CN"/>
          <w:highlight w:val="auto"/>
        </w:rPr>
        <w:t>声明函无效</w:t>
      </w:r>
      <w:r>
        <w:rPr>
          <w:rFonts w:ascii="宋体" w:cs="宋体" w:hint="eastAsia"/>
          <w:b/>
          <w:bCs/>
          <w:color w:val="auto"/>
          <w:kern w:val="0"/>
          <w:szCs w:val="21"/>
          <w:highlight w:val="auto"/>
        </w:rPr>
        <w:t>。</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投标人在填写声明函前，须先自查是否满足小微企业认定标准。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中小企业对其声明内容的真实性负责，声明函内容不实的，属于提供虚假材料谋取中标、成交，依照《中华人民共和国政府采购法》等国家有关规定追究相应责任。</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4</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投标人为监狱企业的证明文件：省级以上监狱管理局、戒毒管理局（含新疆生产建设兵团）出具</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5</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投标人如符合《财政部、民政部、中国残疾人联合会关于促进残疾人就业政府采购政策的通知》（财库〔2017〕141号）政策规定的，须提供《残疾人福利性单位声明函》；</w:t>
      </w:r>
    </w:p>
    <w:p>
      <w:pPr>
        <w:tabs>
          <w:tab w:val="left" w:pos="720"/>
        </w:tabs>
        <w:adjustRightInd w:val="0"/>
        <w:snapToGrid w:val="0"/>
        <w:spacing w:line="360" w:lineRule="auto"/>
        <w:ind w:firstLineChars="200" w:firstLine="420"/>
        <w:jc w:val="left"/>
        <w:rPr>
          <w:rFonts w:ascii="宋体" w:cs="宋体"/>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6</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本项目不接受进口产品投标（进口产品是指通过中国海关报关，验放进入中国境内，且产自关境外的产品），</w:t>
      </w:r>
      <w:r>
        <w:rPr>
          <w:rFonts w:ascii="宋体" w:cs="宋体" w:hint="eastAsia"/>
          <w:b/>
          <w:bCs/>
          <w:color w:val="auto"/>
          <w:kern w:val="0"/>
          <w:szCs w:val="21"/>
          <w:u w:val="single"/>
          <w:highlight w:val="auto"/>
        </w:rPr>
        <w:t>请提供承诺所投产品均为国产设备的承诺函（格式自拟）</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 xml:space="preserve">9.2 </w:t>
      </w:r>
      <w:r>
        <w:rPr>
          <w:rFonts w:ascii="宋体" w:cs="宋体" w:hint="eastAsia"/>
          <w:b/>
          <w:bCs/>
          <w:color w:val="auto"/>
          <w:szCs w:val="21"/>
          <w:highlight w:val="auto"/>
        </w:rPr>
        <w:t>商务技术文件</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9.2.1</w:t>
      </w:r>
      <w:r>
        <w:rPr>
          <w:rFonts w:ascii="宋体" w:cs="宋体" w:hint="eastAsia"/>
          <w:b/>
          <w:bCs/>
          <w:color w:val="auto"/>
          <w:szCs w:val="21"/>
          <w:highlight w:val="auto"/>
        </w:rPr>
        <w:t>商务文件</w:t>
      </w:r>
    </w:p>
    <w:p>
      <w:pPr>
        <w:tabs>
          <w:tab w:val="left" w:pos="851"/>
          <w:tab w:val="left" w:pos="900"/>
          <w:tab w:val="left" w:pos="1080"/>
        </w:tabs>
        <w:adjustRightInd w:val="0"/>
        <w:snapToGrid w:val="0"/>
        <w:spacing w:line="360" w:lineRule="auto"/>
        <w:ind w:firstLineChars="200" w:firstLine="420"/>
        <w:jc w:val="left"/>
        <w:rPr>
          <w:rFonts w:ascii="宋体" w:cs="宋体"/>
          <w:bCs/>
          <w:color w:val="auto"/>
          <w:szCs w:val="21"/>
          <w:highlight w:val="auto"/>
        </w:rPr>
      </w:pPr>
      <w:r>
        <w:rPr>
          <w:rFonts w:ascii="宋体" w:cs="宋体" w:hint="eastAsia"/>
          <w:bCs/>
          <w:color w:val="auto"/>
          <w:szCs w:val="21"/>
          <w:highlight w:val="auto"/>
        </w:rPr>
        <w:t>包括但不限于以下内容：</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bCs/>
          <w:color w:val="auto"/>
          <w:szCs w:val="21"/>
          <w:lang w:eastAsia="zh-CN"/>
          <w:highlight w:val="auto"/>
        </w:rPr>
        <w:t>（</w:t>
      </w:r>
      <w:r>
        <w:rPr>
          <w:rFonts w:ascii="宋体" w:cs="宋体" w:hint="eastAsia"/>
          <w:bCs/>
          <w:color w:val="auto"/>
          <w:szCs w:val="21"/>
          <w:lang w:val="en-US" w:eastAsia="zh-CN"/>
          <w:highlight w:val="auto"/>
        </w:rPr>
        <w:t>1</w:t>
      </w:r>
      <w:r>
        <w:rPr>
          <w:rFonts w:ascii="宋体" w:cs="宋体" w:hint="eastAsia"/>
          <w:bCs/>
          <w:color w:val="auto"/>
          <w:szCs w:val="21"/>
          <w:lang w:eastAsia="zh-CN"/>
          <w:highlight w:val="auto"/>
        </w:rPr>
        <w:t>）</w:t>
      </w:r>
      <w:r>
        <w:rPr>
          <w:rFonts w:ascii="宋体" w:cs="宋体" w:hint="eastAsia"/>
          <w:bCs/>
          <w:color w:val="auto"/>
          <w:szCs w:val="21"/>
          <w:highlight w:val="auto"/>
        </w:rPr>
        <w:t>评分索引表；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2</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法定代表人资格证明书及法定代表人授权书，同时须附法定代表人和授权委托代表的有效身份证复印件（法定代表人直接参加投标并对相应文件签字的，只需提供前者）</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3</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廉政承诺书；</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4</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投标人曾承担过的类似项目业绩情况（如有，须附清晰可辨的合同复印件。涉及评分项的，证明材料需满足评分细则的相关要求）；</w:t>
      </w:r>
      <w:r>
        <w:rPr>
          <w:rFonts w:hint="eastAsia"/>
          <w:color w:val="auto"/>
          <w:szCs w:val="21"/>
          <w:highlight w:val="auto"/>
        </w:rPr>
        <w:t>投标产品为对省级以上主管部门认定的首台套产品，提供纳入《省推广应用指导目录》等证明材料</w:t>
      </w:r>
      <w:r>
        <w:rPr>
          <w:rFonts w:ascii="Times New Roman" w:hAnsi="Times New Roman"/>
          <w:color w:val="auto"/>
          <w:highlight w:val="auto"/>
        </w:rPr>
        <w:t>（如有）</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5</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采购需求偏离表</w:t>
      </w:r>
      <w:r>
        <w:rPr>
          <w:rFonts w:ascii="宋体" w:cs="宋体"/>
          <w:snapToGrid w:val="0"/>
          <w:color w:val="auto"/>
          <w:kern w:val="0"/>
          <w:szCs w:val="21"/>
          <w:highlight w:val="auto"/>
        </w:rPr>
        <w:t>/</w:t>
      </w:r>
      <w:r>
        <w:rPr>
          <w:rFonts w:ascii="宋体" w:cs="宋体" w:hint="eastAsia"/>
          <w:snapToGrid w:val="0"/>
          <w:color w:val="auto"/>
          <w:kern w:val="0"/>
          <w:szCs w:val="21"/>
          <w:highlight w:val="auto"/>
        </w:rPr>
        <w:t>商务条款偏离表；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6</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与商务资信标评分有关的其他材料</w:t>
      </w:r>
      <w:r>
        <w:rPr>
          <w:rFonts w:ascii="宋体" w:cs="宋体" w:hint="eastAsia"/>
          <w:b/>
          <w:bCs/>
          <w:snapToGrid w:val="0"/>
          <w:color w:val="auto"/>
          <w:kern w:val="0"/>
          <w:sz w:val="24"/>
          <w:szCs w:val="24"/>
          <w:u w:val="single"/>
          <w:highlight w:val="auto"/>
        </w:rPr>
        <w:t>（</w:t>
      </w:r>
      <w:r>
        <w:rPr>
          <w:rFonts w:ascii="宋体" w:cs="宋体" w:hint="eastAsia"/>
          <w:b/>
          <w:bCs/>
          <w:color w:val="auto"/>
          <w:spacing w:val="-6"/>
          <w:sz w:val="24"/>
          <w:szCs w:val="24"/>
          <w:u w:val="single"/>
          <w:highlight w:val="auto"/>
        </w:rPr>
        <w:t>货物配置清单（不含报价）</w:t>
      </w:r>
      <w:r>
        <w:rPr>
          <w:rFonts w:ascii="宋体" w:cs="宋体" w:hint="eastAsia"/>
          <w:b/>
          <w:bCs/>
          <w:snapToGrid w:val="0"/>
          <w:color w:val="auto"/>
          <w:kern w:val="0"/>
          <w:sz w:val="24"/>
          <w:szCs w:val="24"/>
          <w:u w:val="single"/>
          <w:highlight w:val="auto"/>
        </w:rPr>
        <w:t>）。</w:t>
      </w:r>
    </w:p>
    <w:p>
      <w:pPr>
        <w:tabs>
          <w:tab w:val="left" w:pos="851"/>
          <w:tab w:val="left" w:pos="900"/>
          <w:tab w:val="left" w:pos="1080"/>
        </w:tabs>
        <w:adjustRightInd w:val="0"/>
        <w:snapToGrid w:val="0"/>
        <w:spacing w:line="360" w:lineRule="auto"/>
        <w:ind w:left="340"/>
        <w:jc w:val="left"/>
        <w:rPr>
          <w:rFonts w:ascii="宋体" w:cs="宋体"/>
          <w:b/>
          <w:color w:val="auto"/>
          <w:szCs w:val="21"/>
          <w:highlight w:val="auto"/>
        </w:rPr>
      </w:pPr>
      <w:r>
        <w:rPr>
          <w:rFonts w:ascii="宋体" w:cs="宋体"/>
          <w:b/>
          <w:color w:val="auto"/>
          <w:szCs w:val="21"/>
          <w:highlight w:val="auto"/>
        </w:rPr>
        <w:t>9.2.2</w:t>
      </w:r>
      <w:r>
        <w:rPr>
          <w:rFonts w:ascii="宋体" w:cs="宋体" w:hint="eastAsia"/>
          <w:b/>
          <w:color w:val="auto"/>
          <w:szCs w:val="21"/>
          <w:highlight w:val="auto"/>
        </w:rPr>
        <w:t>技术文件</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包括但不限于以下内容：</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服务方案；提供初步的编制方案；</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针对本项目建设的详细实施计划，包括技术方案、装备详细配置清单及所用材质等明细（品牌、产地、规格、参数），及必要的产品彩页等证明资料</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随机标准附件、备品备件、零配件、专用工具清单</w:t>
      </w:r>
      <w:r>
        <w:rPr>
          <w:rFonts w:ascii="宋体" w:eastAsia="宋体" w:cs="宋体" w:hint="eastAsia"/>
          <w:color w:val="auto"/>
          <w:lang w:eastAsia="zh-CN"/>
          <w:highlight w:val="auto"/>
        </w:rPr>
        <w:t>、</w:t>
      </w:r>
      <w:r>
        <w:rPr>
          <w:rFonts w:ascii="宋体" w:eastAsia="宋体" w:cs="宋体" w:hint="eastAsia"/>
          <w:color w:val="auto"/>
          <w:highlight w:val="auto"/>
        </w:rPr>
        <w:t>产品性能说明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消耗品、易耗品价格清单</w:t>
      </w:r>
      <w:r>
        <w:rPr>
          <w:rFonts w:ascii="宋体" w:eastAsia="宋体" w:cs="宋体" w:hint="eastAsia"/>
          <w:color w:val="auto"/>
          <w:lang w:eastAsia="zh-CN"/>
          <w:highlight w:val="auto"/>
        </w:rPr>
        <w:t>、</w:t>
      </w:r>
      <w:r>
        <w:rPr>
          <w:rFonts w:ascii="宋体" w:eastAsia="宋体" w:cs="宋体" w:hint="eastAsia"/>
          <w:color w:val="auto"/>
          <w:highlight w:val="auto"/>
        </w:rPr>
        <w:t>保修价格，维修配件价格，维修服务费价格</w:t>
      </w:r>
      <w:r>
        <w:rPr>
          <w:rFonts w:ascii="宋体" w:eastAsia="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生产工艺流程，质量控制措施等；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项目班子配备情况；</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服务承诺；</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包括但不限于有关进度、质量、人员到位等方面的服务承诺；（如有）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项目的组织实施方案，包括产品的供货、验收、安装调试方案及配送承诺等</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安装调试方案，包括对场地环境的了解、人员的安排、时间进度的规划，对设备的调试进度安排，调试的步骤、措施，问题的解决方案等</w:t>
      </w:r>
      <w:r>
        <w:rPr>
          <w:rFonts w:ascii="宋体" w:eastAsia="宋体" w:cs="宋体" w:hint="eastAsia"/>
          <w:color w:val="auto"/>
          <w:lang w:eastAsia="zh-CN"/>
          <w:highlight w:val="auto"/>
        </w:rPr>
        <w:t>；</w:t>
      </w:r>
      <w:r>
        <w:rPr>
          <w:rFonts w:ascii="宋体" w:eastAsia="宋体" w:cs="宋体" w:hint="eastAsia"/>
          <w:color w:val="auto"/>
          <w:highlight w:val="auto"/>
        </w:rPr>
        <w:t>培训方案，包括但不限于培训对象、课时安排、师资力量安排等</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针对本项目能提供的特色服务、增值服务说明；（如有）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技术服务、售后服务的内容和措施，明确售后服务承诺（范围、标准、期限、质保期外维修及零配件等费用），并明示服务承诺可能涉及的前提设定和费用，否则将被认为是无条件和免费的；</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投标机型的样本或彩页和原厂技术参数</w:t>
      </w:r>
      <w:r>
        <w:rPr>
          <w:rFonts w:ascii="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投标人认为需要提供的其它文件及资料。（如有）</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b/>
          <w:snapToGrid w:val="0"/>
          <w:color w:val="auto"/>
          <w:kern w:val="0"/>
          <w:szCs w:val="21"/>
          <w:highlight w:val="auto"/>
        </w:rPr>
        <w:t>9.3</w:t>
      </w:r>
      <w:r>
        <w:rPr>
          <w:rFonts w:ascii="宋体" w:cs="宋体" w:hint="eastAsia"/>
          <w:b/>
          <w:snapToGrid w:val="0"/>
          <w:color w:val="auto"/>
          <w:kern w:val="0"/>
          <w:szCs w:val="21"/>
          <w:highlight w:val="auto"/>
        </w:rPr>
        <w:t>报价文件</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投标函；</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开标一览表；</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投标报价明细表；</w:t>
      </w:r>
    </w:p>
    <w:p>
      <w:pPr>
        <w:numPr>
          <w:ilvl w:val="0"/>
          <w:numId w:val="2"/>
        </w:numPr>
        <w:tabs>
          <w:tab w:val="left" w:pos="840"/>
          <w:tab w:val="left" w:pos="1050"/>
        </w:tabs>
        <w:adjustRightInd w:val="0"/>
        <w:snapToGrid w:val="0"/>
        <w:spacing w:line="360" w:lineRule="auto"/>
        <w:ind w:left="13" w:firstLine="409"/>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投标人认为针对报价需要说明的其他文件及资料。</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10</w:t>
      </w:r>
      <w:r>
        <w:rPr>
          <w:rFonts w:ascii="宋体" w:hint="eastAsia"/>
          <w:b/>
          <w:snapToGrid w:val="0"/>
          <w:color w:val="auto"/>
          <w:kern w:val="0"/>
          <w:szCs w:val="21"/>
          <w:highlight w:val="auto"/>
        </w:rPr>
        <w:t>．投标函</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10.1 </w:t>
      </w:r>
      <w:r>
        <w:rPr>
          <w:rFonts w:ascii="宋体" w:hint="eastAsia"/>
          <w:snapToGrid w:val="0"/>
          <w:color w:val="auto"/>
          <w:kern w:val="0"/>
          <w:szCs w:val="21"/>
          <w:highlight w:val="auto"/>
        </w:rPr>
        <w:t>供应商应完整地填写采购文件中提供的投标函和投标相关附件。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10.2 </w:t>
      </w:r>
      <w:r>
        <w:rPr>
          <w:rFonts w:ascii="宋体" w:hint="eastAsia"/>
          <w:snapToGrid w:val="0"/>
          <w:color w:val="auto"/>
          <w:kern w:val="0"/>
          <w:szCs w:val="21"/>
          <w:highlight w:val="auto"/>
        </w:rPr>
        <w:t>投标文件应当对采购文件中有关投标有效期、采购需求等实质性内容作出响应。供应商在满足采购文件实质性要求的基础上，可以提出比采购文件要求更有利于采购人的承诺。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11</w:t>
      </w:r>
      <w:r>
        <w:rPr>
          <w:rFonts w:ascii="宋体" w:hint="eastAsia"/>
          <w:b/>
          <w:snapToGrid w:val="0"/>
          <w:color w:val="auto"/>
          <w:kern w:val="0"/>
          <w:szCs w:val="21"/>
          <w:highlight w:val="auto"/>
        </w:rPr>
        <w:t>．投标报价</w:t>
      </w:r>
    </w:p>
    <w:p>
      <w:pPr>
        <w:adjustRightInd w:val="0"/>
        <w:snapToGrid w:val="0"/>
        <w:spacing w:line="360" w:lineRule="auto"/>
        <w:ind w:firstLine="435"/>
        <w:rPr>
          <w:rFonts w:ascii="宋体"/>
          <w:snapToGrid w:val="0"/>
          <w:color w:val="auto"/>
          <w:kern w:val="0"/>
          <w:szCs w:val="21"/>
          <w:highlight w:val="auto"/>
        </w:rPr>
      </w:pPr>
      <w:r>
        <w:rPr>
          <w:rFonts w:ascii="宋体"/>
          <w:snapToGrid w:val="0"/>
          <w:color w:val="auto"/>
          <w:kern w:val="0"/>
          <w:szCs w:val="21"/>
          <w:highlight w:val="auto"/>
        </w:rPr>
        <w:t>11.1</w:t>
      </w:r>
      <w:r>
        <w:rPr>
          <w:rFonts w:ascii="宋体" w:hint="eastAsia"/>
          <w:snapToGrid w:val="0"/>
          <w:color w:val="auto"/>
          <w:kern w:val="0"/>
          <w:szCs w:val="21"/>
          <w:highlight w:val="auto"/>
        </w:rPr>
        <w:t>为方便采购人，</w:t>
      </w:r>
      <w:r>
        <w:rPr>
          <w:rFonts w:ascii="宋体" w:hint="eastAsia"/>
          <w:color w:val="auto"/>
          <w:szCs w:val="21"/>
          <w:highlight w:val="auto"/>
        </w:rPr>
        <w:t>供应商应针对不同的报价内容进行分项报价</w:t>
      </w:r>
      <w:r>
        <w:rPr>
          <w:rFonts w:ascii="宋体" w:hint="eastAsia"/>
          <w:color w:val="auto"/>
          <w:szCs w:val="21"/>
          <w:lang w:eastAsia="zh-CN"/>
          <w:highlight w:val="auto"/>
        </w:rPr>
        <w:t>（</w:t>
      </w:r>
      <w:r>
        <w:rPr>
          <w:rFonts w:ascii="宋体" w:hint="eastAsia"/>
          <w:color w:val="auto"/>
          <w:szCs w:val="21"/>
          <w:lang w:val="en-US" w:eastAsia="zh-CN"/>
          <w:highlight w:val="auto"/>
        </w:rPr>
        <w:t>每台设备均需单独报价</w:t>
      </w:r>
      <w:r>
        <w:rPr>
          <w:rFonts w:ascii="宋体" w:hint="eastAsia"/>
          <w:color w:val="auto"/>
          <w:szCs w:val="21"/>
          <w:lang w:eastAsia="zh-CN"/>
          <w:highlight w:val="auto"/>
        </w:rPr>
        <w:t>）</w:t>
      </w:r>
      <w:r>
        <w:rPr>
          <w:rFonts w:ascii="宋体" w:hint="eastAsia"/>
          <w:color w:val="auto"/>
          <w:szCs w:val="21"/>
          <w:highlight w:val="auto"/>
        </w:rPr>
        <w:t>，方便合同结算。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b/>
          <w:snapToGrid w:val="0"/>
          <w:color w:val="auto"/>
          <w:kern w:val="0"/>
          <w:szCs w:val="21"/>
          <w:highlight w:val="auto"/>
        </w:rPr>
        <w:t>11.2</w:t>
      </w:r>
      <w:r>
        <w:rPr>
          <w:rFonts w:ascii="宋体" w:hint="eastAsia"/>
          <w:b/>
          <w:snapToGrid w:val="0"/>
          <w:color w:val="auto"/>
          <w:kern w:val="0"/>
          <w:szCs w:val="21"/>
          <w:highlight w:val="auto"/>
        </w:rPr>
        <w:t>本次报价方式为总价包干。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11.3</w:t>
      </w:r>
      <w:r>
        <w:rPr>
          <w:rFonts w:ascii="宋体" w:hint="eastAsia"/>
          <w:snapToGrid w:val="0"/>
          <w:color w:val="auto"/>
          <w:kern w:val="0"/>
          <w:szCs w:val="21"/>
          <w:highlight w:val="auto"/>
        </w:rPr>
        <w:t>采购人要求分类报价是为了方便评标，但在任何情况下不限制采购人以其认为最合适的条款签订合同的权力，采购人有权根据项目需求，增加或减少相关的采购数量，相关的价格风险供应商自行考虑。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11.4</w:t>
      </w:r>
      <w:r>
        <w:rPr>
          <w:rFonts w:ascii="宋体" w:cs="宋体" w:hint="eastAsia"/>
          <w:snapToGrid w:val="0"/>
          <w:color w:val="auto"/>
          <w:kern w:val="0"/>
          <w:szCs w:val="21"/>
          <w:highlight w:val="auto"/>
        </w:rPr>
        <w:t>本项目</w:t>
      </w:r>
      <w:r>
        <w:rPr>
          <w:rFonts w:ascii="宋体" w:hint="eastAsia"/>
          <w:snapToGrid w:val="0"/>
          <w:color w:val="auto"/>
          <w:kern w:val="0"/>
          <w:szCs w:val="21"/>
          <w:highlight w:val="auto"/>
        </w:rPr>
        <w:t>只允许有一个报价，有选择的报价将不予接受。本项目只允许一次报价，不允许以开标后调整的报价作为评标的依据（但按本采购文件投标须知投标文件错误的修正并经评标委员会认定或经供应商确认同意的除外）。</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11.5</w:t>
      </w:r>
      <w:r>
        <w:rPr>
          <w:rFonts w:ascii="宋体" w:hint="eastAsia"/>
          <w:snapToGrid w:val="0"/>
          <w:color w:val="auto"/>
          <w:kern w:val="0"/>
          <w:szCs w:val="21"/>
          <w:highlight w:val="auto"/>
        </w:rPr>
        <w:t>其它需在报价中考虑的因素：</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）价格单列的内容，若采购人在合同执行过程中未采用时，采购人可扣回相应费用。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）本项目的招标代理服务费用须由中标供应商支付给采购代理机构。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w:t>
      </w:r>
      <w:r>
        <w:rPr>
          <w:rFonts w:ascii="宋体" w:hint="eastAsia"/>
          <w:b/>
          <w:snapToGrid w:val="0"/>
          <w:color w:val="auto"/>
          <w:kern w:val="0"/>
          <w:szCs w:val="21"/>
          <w:highlight w:val="auto"/>
        </w:rPr>
        <w:t>对于没有填报的项目，采购人将不再支付，并均认为已包含在报价内。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12</w:t>
      </w:r>
      <w:r>
        <w:rPr>
          <w:rFonts w:ascii="宋体" w:hint="eastAsia"/>
          <w:b/>
          <w:snapToGrid w:val="0"/>
          <w:color w:val="auto"/>
          <w:kern w:val="0"/>
          <w:szCs w:val="21"/>
          <w:highlight w:val="auto"/>
        </w:rPr>
        <w:t>．投标货币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供应商用人民币报价。</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13</w:t>
      </w:r>
      <w:r>
        <w:rPr>
          <w:rFonts w:ascii="宋体" w:hint="eastAsia"/>
          <w:b/>
          <w:snapToGrid w:val="0"/>
          <w:color w:val="auto"/>
          <w:kern w:val="0"/>
          <w:szCs w:val="21"/>
          <w:highlight w:val="auto"/>
        </w:rPr>
        <w:t>．投标保证金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本项目不作要求。</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14</w:t>
      </w:r>
      <w:r>
        <w:rPr>
          <w:rFonts w:ascii="宋体" w:hint="eastAsia"/>
          <w:b/>
          <w:snapToGrid w:val="0"/>
          <w:color w:val="auto"/>
          <w:kern w:val="0"/>
          <w:szCs w:val="21"/>
          <w:highlight w:val="auto"/>
        </w:rPr>
        <w:t>．投标有效期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14.1 </w:t>
      </w:r>
      <w:r>
        <w:rPr>
          <w:rFonts w:ascii="宋体" w:hint="eastAsia"/>
          <w:snapToGrid w:val="0"/>
          <w:color w:val="auto"/>
          <w:kern w:val="0"/>
          <w:szCs w:val="21"/>
          <w:highlight w:val="auto"/>
        </w:rPr>
        <w:t>投标文件在开标之日起</w:t>
      </w:r>
      <w:r>
        <w:rPr>
          <w:rFonts w:ascii="宋体"/>
          <w:snapToGrid w:val="0"/>
          <w:color w:val="auto"/>
          <w:kern w:val="0"/>
          <w:szCs w:val="21"/>
          <w:highlight w:val="auto"/>
        </w:rPr>
        <w:t>90</w:t>
      </w:r>
      <w:r>
        <w:rPr>
          <w:rFonts w:ascii="宋体" w:hint="eastAsia"/>
          <w:snapToGrid w:val="0"/>
          <w:color w:val="auto"/>
          <w:kern w:val="0"/>
          <w:szCs w:val="21"/>
          <w:highlight w:val="auto"/>
        </w:rPr>
        <w:t>日历天内有效。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14.2 </w:t>
      </w:r>
      <w:r>
        <w:rPr>
          <w:rFonts w:ascii="宋体" w:hint="eastAsia"/>
          <w:snapToGrid w:val="0"/>
          <w:color w:val="auto"/>
          <w:kern w:val="0"/>
          <w:szCs w:val="21"/>
          <w:highlight w:val="auto"/>
        </w:rPr>
        <w:t>在原定投标有效期满之前，如果出现特殊情况，采购人可以以书面形式向供应商提出延长投标有效期的要求。这种要求与答复均应采用书面形式如传真或信件等。供应商可以拒绝接受采购人的这种要求而放弃投标。接受延长投标有效期的供应商将不会被要求和允许修正其投标。有限期约束的所有权力和义务均延长至新的有限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14.3 </w:t>
      </w:r>
      <w:r>
        <w:rPr>
          <w:rFonts w:ascii="宋体" w:hint="eastAsia"/>
          <w:snapToGrid w:val="0"/>
          <w:color w:val="auto"/>
          <w:kern w:val="0"/>
          <w:szCs w:val="21"/>
          <w:highlight w:val="auto"/>
        </w:rPr>
        <w:t>中标人的投标文件自开标之日起至合同履行完毕止均应保持有效。</w:t>
      </w:r>
    </w:p>
    <w:p>
      <w:pPr>
        <w:adjustRightInd w:val="0"/>
        <w:snapToGrid w:val="0"/>
        <w:spacing w:line="360" w:lineRule="auto"/>
        <w:ind w:firstLineChars="200" w:firstLine="420"/>
        <w:rPr>
          <w:rFonts w:ascii="宋体"/>
          <w:b/>
          <w:snapToGrid w:val="0"/>
          <w:color w:val="auto"/>
          <w:kern w:val="0"/>
          <w:szCs w:val="21"/>
          <w:u w:val="single"/>
          <w:highlight w:val="auto"/>
        </w:rPr>
      </w:pPr>
      <w:r>
        <w:rPr>
          <w:rFonts w:ascii="宋体" w:cs="宋体" w:hint="eastAsia"/>
          <w:b/>
          <w:snapToGrid w:val="0"/>
          <w:color w:val="auto"/>
          <w:kern w:val="0"/>
          <w:szCs w:val="21"/>
          <w:highlight w:val="auto"/>
        </w:rPr>
        <w:t>▲</w:t>
      </w:r>
      <w:r>
        <w:rPr>
          <w:rFonts w:ascii="宋体"/>
          <w:b/>
          <w:snapToGrid w:val="0"/>
          <w:color w:val="auto"/>
          <w:kern w:val="0"/>
          <w:szCs w:val="21"/>
          <w:highlight w:val="auto"/>
        </w:rPr>
        <w:t>15</w:t>
      </w:r>
      <w:r>
        <w:rPr>
          <w:rFonts w:ascii="宋体" w:hint="eastAsia"/>
          <w:b/>
          <w:snapToGrid w:val="0"/>
          <w:color w:val="auto"/>
          <w:kern w:val="0"/>
          <w:szCs w:val="21"/>
          <w:highlight w:val="auto"/>
        </w:rPr>
        <w:t>．投标文件的式样和签署</w:t>
      </w:r>
    </w:p>
    <w:p>
      <w:pPr>
        <w:adjustRightInd w:val="0"/>
        <w:snapToGrid w:val="0"/>
        <w:spacing w:line="360" w:lineRule="auto"/>
        <w:ind w:firstLineChars="200" w:firstLine="420"/>
        <w:jc w:val="left"/>
        <w:rPr>
          <w:rFonts w:ascii="宋体"/>
          <w:snapToGrid w:val="0"/>
          <w:color w:val="auto"/>
          <w:kern w:val="0"/>
          <w:szCs w:val="21"/>
          <w:highlight w:val="auto"/>
        </w:rPr>
      </w:pPr>
      <w:bookmarkStart w:id="36" w:name="_Toc240450080"/>
      <w:bookmarkStart w:id="37" w:name="_Toc251566653"/>
      <w:r>
        <w:rPr>
          <w:rFonts w:ascii="宋体"/>
          <w:snapToGrid w:val="0"/>
          <w:color w:val="auto"/>
          <w:kern w:val="0"/>
          <w:szCs w:val="21"/>
          <w:highlight w:val="auto"/>
        </w:rPr>
        <w:t xml:space="preserve">15.1 </w:t>
      </w:r>
      <w:r>
        <w:rPr>
          <w:rFonts w:ascii="宋体" w:hint="eastAsia"/>
          <w:snapToGrid w:val="0"/>
          <w:color w:val="auto"/>
          <w:kern w:val="0"/>
          <w:szCs w:val="21"/>
          <w:highlight w:val="auto"/>
        </w:rPr>
        <w:t>供应商应按照本采购文件规定的格式和顺序编制、装订投标文件。投标文件内容不完整、编排混乱导致投标文件被误读、漏读，或者在按采购文件规定装订成册的部分查找不到相关内容的，是供应商的责任。</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snapToGrid w:val="0"/>
          <w:color w:val="auto"/>
          <w:kern w:val="0"/>
          <w:szCs w:val="21"/>
          <w:highlight w:val="auto"/>
        </w:rPr>
        <w:t xml:space="preserve">15.2 </w:t>
      </w:r>
      <w:r>
        <w:rPr>
          <w:rFonts w:ascii="宋体" w:hint="eastAsia"/>
          <w:snapToGrid w:val="0"/>
          <w:color w:val="auto"/>
          <w:kern w:val="0"/>
          <w:szCs w:val="21"/>
          <w:highlight w:val="auto"/>
        </w:rPr>
        <w:t>供应商递交的纸质投标文件包括</w:t>
      </w:r>
      <w:r>
        <w:rPr>
          <w:rFonts w:ascii="宋体"/>
          <w:snapToGrid w:val="0"/>
          <w:color w:val="auto"/>
          <w:kern w:val="0"/>
          <w:szCs w:val="21"/>
          <w:highlight w:val="auto"/>
        </w:rPr>
        <w:t xml:space="preserve"> </w:t>
      </w:r>
      <w:r>
        <w:rPr>
          <w:rFonts w:ascii="宋体" w:hint="eastAsia"/>
          <w:snapToGrid w:val="0"/>
          <w:color w:val="auto"/>
          <w:kern w:val="0"/>
          <w:szCs w:val="21"/>
          <w:highlight w:val="auto"/>
        </w:rPr>
        <w:t>“正本”一份、“副本”四份、</w:t>
      </w:r>
      <w:r>
        <w:rPr>
          <w:rFonts w:ascii="宋体" w:hint="eastAsia"/>
          <w:color w:val="auto"/>
          <w:szCs w:val="21"/>
          <w:highlight w:val="auto"/>
        </w:rPr>
        <w:t>电子文档</w:t>
      </w:r>
      <w:r>
        <w:rPr>
          <w:rFonts w:ascii="宋体"/>
          <w:color w:val="auto"/>
          <w:szCs w:val="21"/>
          <w:highlight w:val="auto"/>
        </w:rPr>
        <w:t>U</w:t>
      </w:r>
      <w:r>
        <w:rPr>
          <w:rFonts w:ascii="宋体" w:hint="eastAsia"/>
          <w:color w:val="auto"/>
          <w:szCs w:val="21"/>
          <w:highlight w:val="auto"/>
        </w:rPr>
        <w:t>盘或光盘一份</w:t>
      </w:r>
      <w:r>
        <w:rPr>
          <w:rFonts w:ascii="宋体" w:hint="eastAsia"/>
          <w:snapToGrid w:val="0"/>
          <w:color w:val="auto"/>
          <w:kern w:val="0"/>
          <w:szCs w:val="21"/>
          <w:highlight w:val="auto"/>
        </w:rPr>
        <w:t>。每份文件包含资格文件、商务技术文件、报价文件三部分内容，</w:t>
      </w:r>
      <w:r>
        <w:rPr>
          <w:rFonts w:ascii="宋体" w:hint="eastAsia"/>
          <w:b/>
          <w:snapToGrid w:val="0"/>
          <w:color w:val="auto"/>
          <w:kern w:val="0"/>
          <w:szCs w:val="21"/>
          <w:u w:val="single"/>
          <w:highlight w:val="auto"/>
        </w:rPr>
        <w:t>其中报价文件需单独装订成册，资格文件和商务技术文件建议合并成一册</w:t>
      </w:r>
      <w:r>
        <w:rPr>
          <w:rFonts w:ascii="宋体" w:hint="eastAsia"/>
          <w:b/>
          <w:snapToGrid w:val="0"/>
          <w:color w:val="auto"/>
          <w:kern w:val="0"/>
          <w:sz w:val="24"/>
          <w:szCs w:val="24"/>
          <w:u w:val="single"/>
          <w:highlight w:val="auto"/>
        </w:rPr>
        <w:t>（电子文档密封在报价中，密封错误的将被拒收）</w:t>
      </w:r>
      <w:r>
        <w:rPr>
          <w:rFonts w:ascii="宋体" w:hint="eastAsia"/>
          <w:b/>
          <w:snapToGrid w:val="0"/>
          <w:color w:val="auto"/>
          <w:kern w:val="0"/>
          <w:szCs w:val="21"/>
          <w:u w:val="single"/>
          <w:highlight w:val="auto"/>
        </w:rPr>
        <w:t>。</w:t>
      </w:r>
      <w:r>
        <w:rPr>
          <w:rFonts w:ascii="宋体" w:hint="eastAsia"/>
          <w:b/>
          <w:snapToGrid w:val="0"/>
          <w:color w:val="auto"/>
          <w:kern w:val="0"/>
          <w:szCs w:val="21"/>
          <w:highlight w:val="auto"/>
        </w:rPr>
        <w:t>投标文件建议胶装（卡纸或铜版纸作封面，不建议硬质纸板做封面），不得出现散页、活页否则将会拒收。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其中投标文件的正本必须打印或用不褪色墨水书写，字迹须清晰易于辨认。投标文件的正本和副本有不一致的，以正本为准。</w:t>
      </w:r>
      <w:r>
        <w:rPr>
          <w:rFonts w:ascii="宋体" w:hint="eastAsia"/>
          <w:b/>
          <w:color w:val="auto"/>
          <w:spacing w:val="-4"/>
          <w:szCs w:val="21"/>
          <w:highlight w:val="auto"/>
        </w:rPr>
        <w:t>标注需要签字或盖章的地方，未签字盖章的，作无效标处理。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15.3 </w:t>
      </w:r>
      <w:r>
        <w:rPr>
          <w:rFonts w:ascii="宋体" w:hint="eastAsia"/>
          <w:snapToGrid w:val="0"/>
          <w:color w:val="auto"/>
          <w:kern w:val="0"/>
          <w:szCs w:val="21"/>
          <w:highlight w:val="auto"/>
        </w:rPr>
        <w:t>投标文件的投标函应加盖供应商公章，并经法定代表人或其委托代理人签字。</w:t>
      </w:r>
      <w:r>
        <w:rPr>
          <w:rFonts w:ascii="宋体" w:hint="eastAsia"/>
          <w:b/>
          <w:snapToGrid w:val="0"/>
          <w:color w:val="auto"/>
          <w:kern w:val="0"/>
          <w:szCs w:val="21"/>
          <w:highlight w:val="auto"/>
        </w:rPr>
        <w:t>投标文件中有委托代理人签字或盖章的必须同时提供法定代表人资格证明书及授权委托函（书）</w:t>
      </w:r>
      <w:r>
        <w:rPr>
          <w:rFonts w:ascii="宋体" w:hint="eastAsia"/>
          <w:snapToGrid w:val="0"/>
          <w:color w:val="auto"/>
          <w:kern w:val="0"/>
          <w:szCs w:val="21"/>
          <w:highlight w:val="auto"/>
        </w:rPr>
        <w:t>。法定代表人资格证明书及授权委托函格式、签字、盖章及内容均应符合要求，否则投标文件无效。投标文件正本中依据采购文件要求加盖供应商公章</w:t>
      </w:r>
      <w:r>
        <w:rPr>
          <w:rFonts w:ascii="宋体" w:hint="eastAsia"/>
          <w:b/>
          <w:snapToGrid w:val="0"/>
          <w:color w:val="auto"/>
          <w:kern w:val="0"/>
          <w:szCs w:val="21"/>
          <w:u w:val="single"/>
          <w:highlight w:val="auto"/>
        </w:rPr>
        <w:t>（除此之外的投标专用章、合同章等均视为无效）</w:t>
      </w:r>
      <w:r>
        <w:rPr>
          <w:rFonts w:ascii="宋体" w:hint="eastAsia"/>
          <w:snapToGrid w:val="0"/>
          <w:color w:val="auto"/>
          <w:kern w:val="0"/>
          <w:szCs w:val="21"/>
          <w:highlight w:val="auto"/>
        </w:rPr>
        <w:t>、法定代表人或其委托代理人签字或盖章的地方须为原件。副本可复印正本内容。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15.4 </w:t>
      </w:r>
      <w:r>
        <w:rPr>
          <w:rFonts w:ascii="宋体" w:hint="eastAsia"/>
          <w:snapToGrid w:val="0"/>
          <w:color w:val="auto"/>
          <w:kern w:val="0"/>
          <w:szCs w:val="21"/>
          <w:highlight w:val="auto"/>
        </w:rPr>
        <w:t>除供应商对错误之处必须修改外，全套投标文件应无涂改或行间插字和增删。修改处须有供应商法定代表人或被授权代表的签字或盖章，否则，评标委员会将不予接受。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15.5 </w:t>
      </w:r>
      <w:r>
        <w:rPr>
          <w:rFonts w:ascii="宋体" w:hint="eastAsia"/>
          <w:snapToGrid w:val="0"/>
          <w:color w:val="auto"/>
          <w:kern w:val="0"/>
          <w:szCs w:val="21"/>
          <w:highlight w:val="auto"/>
        </w:rPr>
        <w:t>投标文件每册目录所示页码应该是该册唯一的页码，其唯一的页码应该与目录所示的页码相吻合。供应商应针对评标细则逐条编制响应内容并标注对应页码，否则采购人不承担因为该项错误导致找不到目录所示内容而漏评或因标书编制质量而被扣分的责任。</w:t>
      </w:r>
    </w:p>
    <w:p>
      <w:pPr>
        <w:adjustRightInd w:val="0"/>
        <w:snapToGrid w:val="0"/>
        <w:spacing w:line="360" w:lineRule="auto"/>
        <w:ind w:firstLineChars="200" w:firstLine="420"/>
        <w:rPr>
          <w:rFonts w:ascii="宋体"/>
          <w:b/>
          <w:snapToGrid w:val="0"/>
          <w:color w:val="auto"/>
          <w:kern w:val="0"/>
          <w:szCs w:val="21"/>
          <w:u w:val="single"/>
          <w:highlight w:val="auto"/>
        </w:rPr>
      </w:pPr>
      <w:bookmarkStart w:id="38" w:name="_Toc30477"/>
      <w:bookmarkStart w:id="39" w:name="_Toc60757524"/>
      <w:bookmarkStart w:id="40" w:name="_Toc367274980"/>
      <w:r>
        <w:rPr>
          <w:rFonts w:ascii="宋体" w:hint="eastAsia"/>
          <w:snapToGrid w:val="0"/>
          <w:color w:val="auto"/>
          <w:szCs w:val="21"/>
          <w:highlight w:val="auto"/>
        </w:rPr>
        <w:t>四、投标文件的递交</w:t>
      </w:r>
      <w:bookmarkEnd w:id="36"/>
      <w:bookmarkEnd w:id="37"/>
      <w:bookmarkEnd w:id="38"/>
      <w:bookmarkEnd w:id="39"/>
      <w:bookmarkEnd w:id="40"/>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16</w:t>
      </w:r>
      <w:r>
        <w:rPr>
          <w:rFonts w:ascii="宋体" w:hint="eastAsia"/>
          <w:b/>
          <w:snapToGrid w:val="0"/>
          <w:color w:val="auto"/>
          <w:kern w:val="0"/>
          <w:szCs w:val="21"/>
          <w:highlight w:val="auto"/>
        </w:rPr>
        <w:t>．投标文件的密封与标志</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 xml:space="preserve">16.1  </w:t>
      </w:r>
      <w:r>
        <w:rPr>
          <w:rFonts w:ascii="宋体" w:hint="eastAsia"/>
          <w:b/>
          <w:snapToGrid w:val="0"/>
          <w:color w:val="auto"/>
          <w:kern w:val="0"/>
          <w:szCs w:val="21"/>
          <w:highlight w:val="auto"/>
        </w:rPr>
        <w:t>供应商须将投标文件密封包装。报价文件必须单独密封，否则投标无效。</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16.2</w:t>
      </w:r>
      <w:r>
        <w:rPr>
          <w:rFonts w:ascii="宋体" w:hint="eastAsia"/>
          <w:snapToGrid w:val="0"/>
          <w:color w:val="auto"/>
          <w:kern w:val="0"/>
          <w:szCs w:val="21"/>
          <w:highlight w:val="auto"/>
        </w:rPr>
        <w:t>密封处加盖供应商公章或密封章。</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密封袋均应注明：</w:t>
      </w:r>
    </w:p>
    <w:p>
      <w:pPr>
        <w:pStyle w:val="25"/>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1</w:t>
      </w:r>
      <w:r>
        <w:rPr>
          <w:rFonts w:ascii="宋体" w:hint="eastAsia"/>
          <w:snapToGrid w:val="0"/>
          <w:color w:val="auto"/>
          <w:kern w:val="0"/>
          <w:sz w:val="21"/>
          <w:szCs w:val="21"/>
          <w:highlight w:val="auto"/>
        </w:rPr>
        <w:t>）采购人名称：</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采购人地址：</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2</w:t>
      </w:r>
      <w:r>
        <w:rPr>
          <w:rFonts w:ascii="宋体" w:hint="eastAsia"/>
          <w:snapToGrid w:val="0"/>
          <w:color w:val="auto"/>
          <w:kern w:val="0"/>
          <w:sz w:val="21"/>
          <w:szCs w:val="21"/>
          <w:highlight w:val="auto"/>
        </w:rPr>
        <w:t>）供应商名称：</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供应商地址：</w:t>
      </w:r>
      <w:r>
        <w:rPr>
          <w:rFonts w:ascii="宋体"/>
          <w:snapToGrid w:val="0"/>
          <w:color w:val="auto"/>
          <w:kern w:val="0"/>
          <w:sz w:val="21"/>
          <w:szCs w:val="21"/>
          <w:u w:val="single"/>
          <w:highlight w:val="auto"/>
        </w:rPr>
        <w:t xml:space="preserve">                              </w:t>
      </w:r>
    </w:p>
    <w:p>
      <w:pPr>
        <w:pStyle w:val="25"/>
        <w:spacing w:line="360" w:lineRule="auto"/>
        <w:ind w:leftChars="200" w:left="420" w:rightChars="0" w:right="-120"/>
        <w:rPr>
          <w:rFonts w:ascii="宋体"/>
          <w:snapToGrid w:val="0"/>
          <w:color w:val="auto"/>
          <w:kern w:val="0"/>
          <w:sz w:val="21"/>
          <w:szCs w:val="21"/>
          <w:u w:val="single"/>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3</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项目名称：</w:t>
      </w:r>
      <w:r>
        <w:rPr>
          <w:rFonts w:ascii="宋体"/>
          <w:snapToGrid w:val="0"/>
          <w:color w:val="auto"/>
          <w:kern w:val="0"/>
          <w:sz w:val="21"/>
          <w:szCs w:val="21"/>
          <w:u w:val="single"/>
          <w:highlight w:val="auto"/>
        </w:rPr>
        <w:t xml:space="preserve">                                 </w:t>
      </w:r>
    </w:p>
    <w:p>
      <w:pPr>
        <w:pStyle w:val="25"/>
        <w:spacing w:line="360" w:lineRule="auto"/>
        <w:ind w:leftChars="200" w:left="420" w:rightChars="0" w:right="-120"/>
        <w:rPr>
          <w:rFonts w:ascii="宋体"/>
          <w:snapToGrid w:val="0"/>
          <w:color w:val="auto"/>
          <w:kern w:val="0"/>
          <w:sz w:val="21"/>
          <w:szCs w:val="21"/>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4</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项目编号：</w:t>
      </w:r>
      <w:r>
        <w:rPr>
          <w:rFonts w:ascii="宋体"/>
          <w:snapToGrid w:val="0"/>
          <w:color w:val="auto"/>
          <w:kern w:val="0"/>
          <w:sz w:val="21"/>
          <w:szCs w:val="21"/>
          <w:u w:val="single"/>
          <w:highlight w:val="auto"/>
        </w:rPr>
        <w:t xml:space="preserve">                                </w:t>
      </w:r>
    </w:p>
    <w:p>
      <w:pPr>
        <w:pStyle w:val="28"/>
        <w:adjustRightInd w:val="0"/>
        <w:spacing w:line="360" w:lineRule="auto"/>
        <w:ind w:firstLineChars="245" w:firstLine="490"/>
        <w:rPr>
          <w:snapToGrid w:val="0"/>
          <w:color w:val="auto"/>
          <w:highlight w:val="auto"/>
        </w:rPr>
      </w:pPr>
      <w:r>
        <w:rPr>
          <w:rFonts w:hint="eastAsia"/>
          <w:snapToGrid w:val="0"/>
          <w:color w:val="auto"/>
          <w:szCs w:val="21"/>
          <w:highlight w:val="auto"/>
        </w:rPr>
        <w:t>（</w:t>
      </w:r>
      <w:r>
        <w:rPr>
          <w:rFonts w:hint="eastAsia"/>
          <w:snapToGrid w:val="0"/>
          <w:color w:val="auto"/>
          <w:szCs w:val="21"/>
          <w:lang w:val="en-US" w:eastAsia="zh-CN"/>
          <w:highlight w:val="auto"/>
        </w:rPr>
        <w:t>5</w:t>
      </w:r>
      <w:r>
        <w:rPr>
          <w:rFonts w:hint="eastAsia"/>
          <w:snapToGrid w:val="0"/>
          <w:color w:val="auto"/>
          <w:szCs w:val="21"/>
          <w:highlight w:val="auto"/>
        </w:rPr>
        <w:t>）“在</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年</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月</w:t>
      </w:r>
      <w:r>
        <w:rPr>
          <w:color w:val="auto"/>
          <w:highlight w:val="auto"/>
        </w:rPr>
        <w:t>__</w:t>
      </w:r>
      <w:r>
        <w:rPr>
          <w:rFonts w:hint="eastAsia"/>
          <w:color w:val="auto"/>
          <w:highlight w:val="auto"/>
        </w:rPr>
        <w:t>日</w:t>
      </w:r>
      <w:r>
        <w:rPr>
          <w:color w:val="auto"/>
          <w:highlight w:val="auto"/>
        </w:rPr>
        <w:t>__</w:t>
      </w:r>
      <w:r>
        <w:rPr>
          <w:rFonts w:hint="eastAsia"/>
          <w:color w:val="auto"/>
          <w:highlight w:val="auto"/>
        </w:rPr>
        <w:t>时</w:t>
      </w:r>
      <w:r>
        <w:rPr>
          <w:color w:val="auto"/>
          <w:highlight w:val="auto"/>
        </w:rPr>
        <w:t>__</w:t>
      </w:r>
      <w:r>
        <w:rPr>
          <w:rFonts w:hint="eastAsia"/>
          <w:color w:val="auto"/>
          <w:highlight w:val="auto"/>
        </w:rPr>
        <w:t>分开标，此时间以前不得开封。（限</w:t>
      </w:r>
      <w:r>
        <w:rPr>
          <w:rFonts w:hint="eastAsia"/>
          <w:snapToGrid w:val="0"/>
          <w:color w:val="auto"/>
          <w:szCs w:val="21"/>
          <w:highlight w:val="auto"/>
        </w:rPr>
        <w:t>资格文件、</w:t>
      </w:r>
      <w:r>
        <w:rPr>
          <w:rFonts w:hint="eastAsia"/>
          <w:color w:val="auto"/>
          <w:highlight w:val="auto"/>
        </w:rPr>
        <w:t>商务技术文件）</w:t>
      </w:r>
      <w:r>
        <w:rPr>
          <w:color w:val="auto"/>
          <w:highlight w:val="auto"/>
        </w:rPr>
        <w:t xml:space="preserve">  __</w:t>
      </w:r>
      <w:r>
        <w:rPr>
          <w:rFonts w:hint="eastAsia"/>
          <w:color w:val="auto"/>
          <w:highlight w:val="auto"/>
        </w:rPr>
        <w:t>年</w:t>
      </w:r>
      <w:r>
        <w:rPr>
          <w:color w:val="auto"/>
          <w:highlight w:val="auto"/>
        </w:rPr>
        <w:t>___</w:t>
      </w:r>
      <w:r>
        <w:rPr>
          <w:rFonts w:hint="eastAsia"/>
          <w:color w:val="auto"/>
          <w:highlight w:val="auto"/>
        </w:rPr>
        <w:t>月</w:t>
      </w:r>
      <w:r>
        <w:rPr>
          <w:color w:val="auto"/>
          <w:highlight w:val="auto"/>
        </w:rPr>
        <w:t>___</w:t>
      </w:r>
      <w:r>
        <w:rPr>
          <w:rFonts w:hint="eastAsia"/>
          <w:color w:val="auto"/>
          <w:highlight w:val="auto"/>
        </w:rPr>
        <w:t>日</w:t>
      </w:r>
      <w:r>
        <w:rPr>
          <w:color w:val="auto"/>
          <w:highlight w:val="auto"/>
        </w:rPr>
        <w:t>__</w:t>
      </w:r>
      <w:r>
        <w:rPr>
          <w:rFonts w:hint="eastAsia"/>
          <w:color w:val="auto"/>
          <w:highlight w:val="auto"/>
        </w:rPr>
        <w:t>第二阶段开标，此时间以前不得开封。（限报价文件）”</w:t>
      </w:r>
      <w:r>
        <w:rPr>
          <w:rFonts w:hint="eastAsia"/>
          <w:snapToGrid w:val="0"/>
          <w:color w:val="auto"/>
          <w:highlight w:val="auto"/>
        </w:rPr>
        <w:t>的字样，并根据本须知前附表的规定填入开标日期和时间。</w:t>
      </w:r>
    </w:p>
    <w:p>
      <w:pPr>
        <w:pStyle w:val="28"/>
        <w:adjustRightInd w:val="0"/>
        <w:spacing w:line="360" w:lineRule="auto"/>
        <w:ind w:leftChars="200" w:left="420" w:firstLineChars="41" w:firstLine="82"/>
        <w:rPr>
          <w:snapToGrid w:val="0"/>
          <w:color w:val="auto"/>
          <w:highlight w:val="auto"/>
        </w:rPr>
      </w:pPr>
      <w:r>
        <w:rPr>
          <w:rFonts w:hint="eastAsia"/>
          <w:snapToGrid w:val="0"/>
          <w:color w:val="auto"/>
          <w:highlight w:val="auto"/>
        </w:rPr>
        <w:t>在包封外层上还应写明供应商名称与地址、邮政编码。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16.3 </w:t>
      </w:r>
      <w:r>
        <w:rPr>
          <w:rFonts w:ascii="宋体" w:hint="eastAsia"/>
          <w:snapToGrid w:val="0"/>
          <w:color w:val="auto"/>
          <w:kern w:val="0"/>
          <w:szCs w:val="21"/>
          <w:highlight w:val="auto"/>
        </w:rPr>
        <w:t>如果包封没有按上述规定密封并加写标志，采购人对误投或过早启封概不负责。对由此造成的提前开封的投标文件，采购人将予以拒绝，并退还给供应商。</w:t>
      </w:r>
    </w:p>
    <w:p>
      <w:pPr>
        <w:adjustRightInd w:val="0"/>
        <w:snapToGrid w:val="0"/>
        <w:spacing w:line="360" w:lineRule="auto"/>
        <w:ind w:firstLineChars="200" w:firstLine="420"/>
        <w:rPr>
          <w:rFonts w:ascii="宋体"/>
          <w:b/>
          <w:snapToGrid w:val="0"/>
          <w:color w:val="auto"/>
          <w:kern w:val="0"/>
          <w:szCs w:val="21"/>
          <w:highlight w:val="auto"/>
        </w:rPr>
      </w:pPr>
      <w:bookmarkStart w:id="41" w:name="_Toc251566654"/>
      <w:bookmarkStart w:id="42" w:name="_Toc240450081"/>
      <w:r>
        <w:rPr>
          <w:rFonts w:ascii="宋体"/>
          <w:b/>
          <w:snapToGrid w:val="0"/>
          <w:color w:val="auto"/>
          <w:kern w:val="0"/>
          <w:szCs w:val="21"/>
          <w:highlight w:val="auto"/>
        </w:rPr>
        <w:t>17</w:t>
      </w:r>
      <w:r>
        <w:rPr>
          <w:rFonts w:ascii="宋体" w:hint="eastAsia"/>
          <w:b/>
          <w:snapToGrid w:val="0"/>
          <w:color w:val="auto"/>
          <w:kern w:val="0"/>
          <w:szCs w:val="21"/>
          <w:highlight w:val="auto"/>
        </w:rPr>
        <w:t>．投标截止期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17.1 </w:t>
      </w:r>
      <w:r>
        <w:rPr>
          <w:rFonts w:ascii="宋体" w:hint="eastAsia"/>
          <w:snapToGrid w:val="0"/>
          <w:color w:val="auto"/>
          <w:kern w:val="0"/>
          <w:szCs w:val="21"/>
          <w:highlight w:val="auto"/>
        </w:rPr>
        <w:t>供应商应按前附表规定的日期、时间和地点递交投标文件。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17.2 </w:t>
      </w:r>
      <w:r>
        <w:rPr>
          <w:rFonts w:ascii="宋体" w:hint="eastAsia"/>
          <w:snapToGrid w:val="0"/>
          <w:color w:val="auto"/>
          <w:kern w:val="0"/>
          <w:szCs w:val="21"/>
          <w:highlight w:val="auto"/>
        </w:rPr>
        <w:t>采购人收到投标文件的时间不得迟于供应商须知前附表中规定的截止时间。</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17.3 </w:t>
      </w:r>
      <w:r>
        <w:rPr>
          <w:rFonts w:ascii="宋体" w:hint="eastAsia"/>
          <w:snapToGrid w:val="0"/>
          <w:color w:val="auto"/>
          <w:kern w:val="0"/>
          <w:szCs w:val="21"/>
          <w:highlight w:val="auto"/>
        </w:rPr>
        <w:t>采购人可以按本须知第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条规定，通过修改采购文件适当延长投标截止日期。在此情况下，采购人与供应商受投标截止期制约的所有权利和义务均应延长至新的截止期。</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18</w:t>
      </w:r>
      <w:r>
        <w:rPr>
          <w:rFonts w:ascii="宋体" w:hint="eastAsia"/>
          <w:b/>
          <w:snapToGrid w:val="0"/>
          <w:color w:val="auto"/>
          <w:kern w:val="0"/>
          <w:szCs w:val="21"/>
          <w:highlight w:val="auto"/>
        </w:rPr>
        <w:t>．迟交的投标文件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采购人将拒绝并原封退回在本须知第</w:t>
      </w:r>
      <w:r>
        <w:rPr>
          <w:rFonts w:ascii="宋体"/>
          <w:snapToGrid w:val="0"/>
          <w:color w:val="auto"/>
          <w:kern w:val="0"/>
          <w:szCs w:val="21"/>
          <w:highlight w:val="auto"/>
        </w:rPr>
        <w:t>17</w:t>
      </w:r>
      <w:r>
        <w:rPr>
          <w:rFonts w:ascii="宋体" w:hint="eastAsia"/>
          <w:snapToGrid w:val="0"/>
          <w:color w:val="auto"/>
          <w:kern w:val="0"/>
          <w:szCs w:val="21"/>
          <w:highlight w:val="auto"/>
        </w:rPr>
        <w:t>条规定的截止期后收到的任何投标文件。</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19</w:t>
      </w:r>
      <w:r>
        <w:rPr>
          <w:rFonts w:ascii="宋体" w:hint="eastAsia"/>
          <w:b/>
          <w:snapToGrid w:val="0"/>
          <w:color w:val="auto"/>
          <w:kern w:val="0"/>
          <w:szCs w:val="21"/>
          <w:highlight w:val="auto"/>
        </w:rPr>
        <w:t>．投标文件的修改与撤回</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19.1 </w:t>
      </w:r>
      <w:r>
        <w:rPr>
          <w:rFonts w:ascii="宋体" w:hint="eastAsia"/>
          <w:snapToGrid w:val="0"/>
          <w:color w:val="auto"/>
          <w:kern w:val="0"/>
          <w:szCs w:val="21"/>
          <w:highlight w:val="auto"/>
        </w:rPr>
        <w:t>供应商在递交投标文件后，可以在规定的投标截止时间前，以书面的形式通知采购人，修改或撤回其投标文件。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19.2 </w:t>
      </w:r>
      <w:r>
        <w:rPr>
          <w:rFonts w:ascii="宋体" w:hint="eastAsia"/>
          <w:snapToGrid w:val="0"/>
          <w:color w:val="auto"/>
          <w:kern w:val="0"/>
          <w:szCs w:val="21"/>
          <w:highlight w:val="auto"/>
        </w:rPr>
        <w:t>供应商的修改或撤回通知，应按本须知第</w:t>
      </w:r>
      <w:r>
        <w:rPr>
          <w:rFonts w:ascii="宋体"/>
          <w:snapToGrid w:val="0"/>
          <w:color w:val="auto"/>
          <w:kern w:val="0"/>
          <w:szCs w:val="21"/>
          <w:highlight w:val="auto"/>
        </w:rPr>
        <w:t>16</w:t>
      </w:r>
      <w:r>
        <w:rPr>
          <w:rFonts w:ascii="宋体" w:hint="eastAsia"/>
          <w:snapToGrid w:val="0"/>
          <w:color w:val="auto"/>
          <w:kern w:val="0"/>
          <w:szCs w:val="21"/>
          <w:highlight w:val="auto"/>
        </w:rPr>
        <w:t>条规定编制、密封、标志和递交（在外层包封上标明“修改”或“撤回”字样）。修改文件同样必须在投标截止时间前送达采购人。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19.3 </w:t>
      </w:r>
      <w:r>
        <w:rPr>
          <w:rFonts w:ascii="宋体" w:hint="eastAsia"/>
          <w:snapToGrid w:val="0"/>
          <w:color w:val="auto"/>
          <w:kern w:val="0"/>
          <w:szCs w:val="21"/>
          <w:highlight w:val="auto"/>
        </w:rPr>
        <w:t>在投标截止期之后，供应商不得对其投标作任何修改。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19.4 </w:t>
      </w:r>
      <w:r>
        <w:rPr>
          <w:rFonts w:ascii="宋体" w:hint="eastAsia"/>
          <w:snapToGrid w:val="0"/>
          <w:color w:val="auto"/>
          <w:kern w:val="0"/>
          <w:szCs w:val="21"/>
          <w:highlight w:val="auto"/>
        </w:rPr>
        <w:t>从投标截止期至供应商在投标函格式中确定的投标有效期期满这段时间内，供应商不得撤回其投标。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20</w:t>
      </w:r>
      <w:r>
        <w:rPr>
          <w:rFonts w:ascii="宋体" w:hint="eastAsia"/>
          <w:b/>
          <w:snapToGrid w:val="0"/>
          <w:color w:val="auto"/>
          <w:kern w:val="0"/>
          <w:szCs w:val="21"/>
          <w:highlight w:val="auto"/>
        </w:rPr>
        <w:t>．无效投标的认定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实质上没有响应采购文件要求的投标将被视为无效投标。供应商不得通过修正或撤消不合要求的偏离或保留从而使其投标成为实质上响应的投标，但经评标委员会认定属于供应商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供应商修改、补正投标文件后，不影响评标委员会对其投标文件所作的评价和评分结果。</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20.1</w:t>
      </w:r>
      <w:r>
        <w:rPr>
          <w:rFonts w:ascii="宋体" w:cs="宋体" w:hint="eastAsia"/>
          <w:b/>
          <w:bCs/>
          <w:snapToGrid w:val="0"/>
          <w:color w:val="auto"/>
          <w:kern w:val="0"/>
          <w:szCs w:val="21"/>
          <w:highlight w:val="auto"/>
        </w:rPr>
        <w:t>资格审查阶段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投标人未按照采购文件投标须知</w:t>
      </w:r>
      <w:r>
        <w:rPr>
          <w:rFonts w:ascii="宋体" w:cs="宋体"/>
          <w:snapToGrid w:val="0"/>
          <w:color w:val="auto"/>
          <w:kern w:val="0"/>
          <w:szCs w:val="21"/>
          <w:highlight w:val="auto"/>
        </w:rPr>
        <w:t>9.1</w:t>
      </w:r>
      <w:r>
        <w:rPr>
          <w:rFonts w:ascii="宋体" w:cs="宋体" w:hint="eastAsia"/>
          <w:snapToGrid w:val="0"/>
          <w:color w:val="auto"/>
          <w:kern w:val="0"/>
          <w:szCs w:val="21"/>
          <w:highlight w:val="auto"/>
        </w:rPr>
        <w:t>条要求提供与基本资格条件、特定资格条件相应的有效资格证明材料的，视为投标人不具备采购文件中规定的资格要求，其资格审查不通过。</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20.2</w:t>
      </w:r>
      <w:r>
        <w:rPr>
          <w:rFonts w:ascii="宋体" w:cs="宋体" w:hint="eastAsia"/>
          <w:b/>
          <w:bCs/>
          <w:snapToGrid w:val="0"/>
          <w:color w:val="auto"/>
          <w:kern w:val="0"/>
          <w:szCs w:val="21"/>
          <w:highlight w:val="auto"/>
        </w:rPr>
        <w:t>商务技术文件评审阶段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评审时，对投标人的技术文件、商务资信和其他评审要求等，评标委员会将逐项进行审查、比较，对于实质性偏离或符合无效条款的，应当询问投标人，并允许投标人进行陈述申辩，但不允许其对偏离条款进行补充、修正或撤回。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如发现下列情形之一的，投标文件将被视为无效投标：</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投标文件中法定代表人授权书所载内容与本项目内容有异的或者法定代表人授权书未按照采购文件要求签署、盖章的；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投标文件内容弄虚作假的；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未按采购文件中明确的要求签署、盖章的；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不响应采购文件标注“▲”条款要求的；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投标有效期、交货期（工期）、质保期等条款不能满足采购文件要求的；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未提供或未如实提供投标货物的技术参数，或者投标文件标明的商务、技术响应与事实不符或虚假投标的；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投标技术方案不明确，存在一个或一个以上备选（替代）投标人案的；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投标文件含有采购人不能接受的附加条件的；不同投标人的投标文件由同一单位或者个人编制的；不同投标人委托同一单位或者个人办理投标事宜的；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同投标人的投标文件载明的项目管理成员或者联系人员为同一人的；不同投标人的投标文件异常一致或者投标报价呈规律性差异的；不同投标人的投标文件相互混装的；不同投标人的招标文件购买费用从同一单位或者个人的账户转出的；</w:t>
      </w:r>
    </w:p>
    <w:p>
      <w:pPr>
        <w:tabs>
          <w:tab w:val="left" w:pos="900"/>
        </w:tabs>
        <w:adjustRightInd w:val="0"/>
        <w:snapToGrid w:val="0"/>
        <w:spacing w:line="360" w:lineRule="auto"/>
        <w:ind w:left="360"/>
        <w:jc w:val="left"/>
        <w:rPr>
          <w:rFonts w:ascii="宋体" w:cs="宋体"/>
          <w:b/>
          <w:bCs/>
          <w:color w:val="auto"/>
          <w:szCs w:val="21"/>
          <w:highlight w:val="auto"/>
        </w:rPr>
      </w:pPr>
      <w:r>
        <w:rPr>
          <w:rFonts w:ascii="宋体" w:cs="宋体" w:hint="eastAsia"/>
          <w:b/>
          <w:snapToGrid w:val="0"/>
          <w:color w:val="auto"/>
          <w:kern w:val="0"/>
          <w:szCs w:val="21"/>
          <w:highlight w:val="auto"/>
        </w:rPr>
        <w:t>（10）存在法律、法规规定及采购文件规</w:t>
      </w:r>
      <w:r>
        <w:rPr>
          <w:rFonts w:ascii="宋体" w:cs="宋体" w:hint="eastAsia"/>
          <w:b/>
          <w:bCs/>
          <w:color w:val="auto"/>
          <w:szCs w:val="21"/>
          <w:highlight w:val="auto"/>
        </w:rPr>
        <w:t>定的其它无效情形的。</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20.3</w:t>
      </w:r>
      <w:r>
        <w:rPr>
          <w:rFonts w:ascii="宋体" w:cs="宋体" w:hint="eastAsia"/>
          <w:b/>
          <w:bCs/>
          <w:snapToGrid w:val="0"/>
          <w:color w:val="auto"/>
          <w:kern w:val="0"/>
          <w:szCs w:val="21"/>
          <w:highlight w:val="auto"/>
        </w:rPr>
        <w:t>报价文件评审阶段</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snapToGrid w:val="0"/>
          <w:color w:val="auto"/>
          <w:kern w:val="0"/>
          <w:szCs w:val="21"/>
          <w:highlight w:val="auto"/>
        </w:rPr>
        <w:t>在报价评审时，如发现下列情形之一的，投标文件将被视为无效：</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开标一览表投标报价为零的（包括投标文件中标明：免费或赠予）或其报价（大写）无法按正常书写方式进行报价唱标的或无投标报价的；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投标人提交两份或多份内容不同的报价响应文件，或在一份报价响应文件中对同一内容报有两个或多个报价，且未声明哪一个为最终报价的；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投标报价超过采购文件中规定的限价金额的；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（4）投标文件中的投标函、开标一览表、投标报价明细表未按招标文件要求签字或盖章的；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 xml:space="preserve">（5）不接受按招标文件规定的修正错误原则修正后的报价的； </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（6）评标委员会认为其报价明显低于其他通过符合性审查投标人的报价，且投标人不能证明其报价合理性，有可能影响产品质量或者不能诚信履约的；</w:t>
      </w:r>
    </w:p>
    <w:p>
      <w:pPr>
        <w:tabs>
          <w:tab w:val="left" w:pos="900"/>
          <w:tab w:val="left" w:pos="1080"/>
        </w:tabs>
        <w:adjustRightInd w:val="0"/>
        <w:snapToGrid w:val="0"/>
        <w:spacing w:line="360" w:lineRule="auto"/>
        <w:ind w:left="360"/>
        <w:jc w:val="left"/>
        <w:rPr>
          <w:rFonts w:ascii="宋体" w:cs="宋体"/>
          <w:b/>
          <w:snapToGrid w:val="0"/>
          <w:color w:val="auto"/>
          <w:kern w:val="0"/>
          <w:highlight w:val="auto"/>
        </w:rPr>
      </w:pPr>
      <w:r>
        <w:rPr>
          <w:rFonts w:ascii="宋体" w:cs="宋体" w:hint="eastAsia"/>
          <w:b/>
          <w:bCs/>
          <w:color w:val="auto"/>
          <w:szCs w:val="21"/>
          <w:highlight w:val="auto"/>
        </w:rPr>
        <w:t>（7）存在法律、法规规定及采购文件规定的其它无效情形的</w:t>
      </w:r>
      <w:r>
        <w:rPr>
          <w:rFonts w:ascii="宋体" w:cs="宋体" w:hint="eastAsia"/>
          <w:b/>
          <w:snapToGrid w:val="0"/>
          <w:color w:val="auto"/>
          <w:kern w:val="0"/>
          <w:highlight w:val="auto"/>
        </w:rPr>
        <w:t>。</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3" w:name="_Toc12604"/>
      <w:bookmarkStart w:id="44" w:name="_Toc60757525"/>
      <w:bookmarkStart w:id="45" w:name="_Toc367274981"/>
      <w:r>
        <w:rPr>
          <w:rFonts w:ascii="宋体" w:eastAsia="宋体" w:hint="eastAsia"/>
          <w:snapToGrid w:val="0"/>
          <w:color w:val="auto"/>
          <w:sz w:val="21"/>
          <w:szCs w:val="21"/>
          <w:highlight w:val="auto"/>
        </w:rPr>
        <w:t>五、开标与评标</w:t>
      </w:r>
      <w:bookmarkEnd w:id="41"/>
      <w:bookmarkEnd w:id="42"/>
      <w:bookmarkEnd w:id="43"/>
      <w:bookmarkEnd w:id="44"/>
      <w:bookmarkEnd w:id="45"/>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21</w:t>
      </w:r>
      <w:r>
        <w:rPr>
          <w:rFonts w:ascii="宋体" w:hint="eastAsia"/>
          <w:b/>
          <w:snapToGrid w:val="0"/>
          <w:color w:val="auto"/>
          <w:kern w:val="0"/>
          <w:szCs w:val="21"/>
          <w:highlight w:val="auto"/>
        </w:rPr>
        <w:t>．开标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21.1 </w:t>
      </w:r>
      <w:r>
        <w:rPr>
          <w:rFonts w:ascii="宋体" w:hint="eastAsia"/>
          <w:snapToGrid w:val="0"/>
          <w:color w:val="auto"/>
          <w:kern w:val="0"/>
          <w:szCs w:val="21"/>
          <w:highlight w:val="auto"/>
        </w:rPr>
        <w:t>采购人将于前附表规定的时间和地点公开开标。若采购人按本须知第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条规定，通过修改采购文件更改了开标时间和地点的，以后者为准。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21.2 </w:t>
      </w:r>
      <w:r>
        <w:rPr>
          <w:rFonts w:ascii="宋体" w:hint="eastAsia"/>
          <w:snapToGrid w:val="0"/>
          <w:color w:val="auto"/>
          <w:kern w:val="0"/>
          <w:szCs w:val="21"/>
          <w:highlight w:val="auto"/>
        </w:rPr>
        <w:t>开标大会邀请所有供应商代表参加</w:t>
      </w:r>
      <w:r>
        <w:rPr>
          <w:rFonts w:ascii="宋体" w:hint="eastAsia"/>
          <w:b/>
          <w:bCs/>
          <w:snapToGrid w:val="0"/>
          <w:color w:val="auto"/>
          <w:kern w:val="0"/>
          <w:szCs w:val="21"/>
          <w:highlight w:val="auto"/>
        </w:rPr>
        <w:t>（供应商可自愿到场，非强制要求到达现场）</w:t>
      </w:r>
      <w:r>
        <w:rPr>
          <w:rFonts w:ascii="宋体" w:hint="eastAsia"/>
          <w:snapToGrid w:val="0"/>
          <w:color w:val="auto"/>
          <w:kern w:val="0"/>
          <w:szCs w:val="21"/>
          <w:highlight w:val="auto"/>
        </w:rPr>
        <w:t>。供应商</w:t>
      </w:r>
      <w:r>
        <w:rPr>
          <w:rFonts w:ascii="宋体" w:hint="eastAsia"/>
          <w:snapToGrid w:val="0"/>
          <w:color w:val="auto"/>
          <w:kern w:val="0"/>
          <w:szCs w:val="21"/>
          <w:lang w:val="en-US" w:eastAsia="zh-CN"/>
          <w:highlight w:val="auto"/>
        </w:rPr>
        <w:t>可</w:t>
      </w:r>
      <w:r>
        <w:rPr>
          <w:rFonts w:ascii="宋体" w:hint="eastAsia"/>
          <w:snapToGrid w:val="0"/>
          <w:color w:val="auto"/>
          <w:kern w:val="0"/>
          <w:szCs w:val="21"/>
          <w:highlight w:val="auto"/>
        </w:rPr>
        <w:t>不派代表参加开标大会的（</w:t>
      </w: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r>
        <w:rPr>
          <w:rFonts w:ascii="宋体" w:hint="eastAsia"/>
          <w:snapToGrid w:val="0"/>
          <w:color w:val="auto"/>
          <w:kern w:val="0"/>
          <w:szCs w:val="21"/>
          <w:highlight w:val="auto"/>
        </w:rPr>
        <w:t>），事后不得对采购相关人员、开标过程和开标结果提出异议。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供应商如是法人代表的，只须按前款提供并出示相关证明、证件即可；如是法人代表授权一个以上代表参加投标的，应按实参加，并在相应文件上同时签署。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21.3 </w:t>
      </w:r>
      <w:r>
        <w:rPr>
          <w:rFonts w:ascii="宋体" w:hint="eastAsia"/>
          <w:snapToGrid w:val="0"/>
          <w:color w:val="auto"/>
          <w:kern w:val="0"/>
          <w:szCs w:val="21"/>
          <w:highlight w:val="auto"/>
        </w:rPr>
        <w:t>开标程序：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本项目按照先拆封资格文件、商务技术文件、后拆封报价文件的顺序进行。具体按以下程序进行：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开标大会由采购人或采购代理机构主持，介绍开标现场的人员情况，宣读递交采购响应文件的供应商名单、开标纪律、应当回避的情形等注意事项，组织供应商签署不存在影响公平竞争的《政府采购活动现场确认声明书》</w:t>
      </w:r>
      <w:r>
        <w:rPr>
          <w:rFonts w:ascii="宋体" w:hint="eastAsia"/>
          <w:snapToGrid w:val="0"/>
          <w:color w:val="auto"/>
          <w:kern w:val="0"/>
          <w:szCs w:val="21"/>
          <w:lang w:eastAsia="zh-CN"/>
          <w:highlight w:val="auto"/>
        </w:rPr>
        <w:t>（</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lang w:eastAsia="zh-CN"/>
          <w:highlight w:val="auto"/>
        </w:rPr>
        <w:t>）</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）对供应商代表或公证人员或监督人员查验采购响应文件密封情况；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按供应商提交采购响应文件（即投标文件）的先后顺序当众拆封、清点采购响应文件（包括正本、副本）数量，将其中密封的报价文件（含开标一览表、报价明细表等，下同）现场集中封存保管等候拆封，将拆封后的资格文件、商务技术文件由现场工作人员护送至指定的评审地点，同时告知供应商代表拆封报价文件的预计时间。对不符合装订要求的采购响应文件，由现场工作人员退还供应商代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提交的采购响应文件应当将其中的报价文件单独密封，</w:t>
      </w:r>
      <w:r>
        <w:rPr>
          <w:rFonts w:ascii="宋体" w:hint="eastAsia"/>
          <w:b/>
          <w:snapToGrid w:val="0"/>
          <w:color w:val="auto"/>
          <w:kern w:val="0"/>
          <w:szCs w:val="21"/>
          <w:highlight w:val="auto"/>
        </w:rPr>
        <w:t>否则如开标时发生报价泄露的，其投标无效，供应商自行承担相关责任</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商务和技术评审结束后，主持人宣告商务和技术评审无效供应商名称及理由，供应商代表可收回未拆封的报价文件并签字确认；公布经商务和技术评审符合采购需求的供应商名单，采用综合评分法的，同时公布其商务和技术得分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）拆封供应商报价文件，宣读开标（报价）一览表有关内容，同时当场制作并打印开标记录表，由供应商代表、唱标人、记录人和现场监督员在开标记录表上签字确认（不予确认的应说明理由，否则视为无异议</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highlight w:val="auto"/>
        </w:rPr>
        <w:t>）。唱标结束后，现场工作人员将报价文件及开标记录表护送至指定评审地点，由评审小组对报价的合理性、准确性等进行审查核实。</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22</w:t>
      </w:r>
      <w:r>
        <w:rPr>
          <w:rFonts w:ascii="宋体" w:hint="eastAsia"/>
          <w:b/>
          <w:snapToGrid w:val="0"/>
          <w:color w:val="auto"/>
          <w:kern w:val="0"/>
          <w:szCs w:val="21"/>
          <w:highlight w:val="auto"/>
        </w:rPr>
        <w:t>．评标</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22.1 </w:t>
      </w:r>
      <w:r>
        <w:rPr>
          <w:rFonts w:ascii="宋体" w:hint="eastAsia"/>
          <w:b/>
          <w:snapToGrid w:val="0"/>
          <w:color w:val="auto"/>
          <w:kern w:val="0"/>
          <w:szCs w:val="21"/>
          <w:highlight w:val="auto"/>
        </w:rPr>
        <w:t>评标组织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22.2</w:t>
      </w:r>
      <w:r>
        <w:rPr>
          <w:rFonts w:ascii="宋体" w:hint="eastAsia"/>
          <w:b/>
          <w:snapToGrid w:val="0"/>
          <w:color w:val="auto"/>
          <w:kern w:val="0"/>
          <w:szCs w:val="21"/>
          <w:highlight w:val="auto"/>
        </w:rPr>
        <w:t>评标纪律</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本次评标工作将在严格保密的情况下进行，评标委员会成员名单在定标前将保密。</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22.3</w:t>
      </w:r>
      <w:r>
        <w:rPr>
          <w:rFonts w:ascii="宋体" w:hint="eastAsia"/>
          <w:b/>
          <w:snapToGrid w:val="0"/>
          <w:color w:val="auto"/>
          <w:kern w:val="0"/>
          <w:szCs w:val="21"/>
          <w:highlight w:val="auto"/>
        </w:rPr>
        <w:t>评标办法</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采用综合评分法，详见采购文件第五部分“评标办法”。</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22.4 </w:t>
      </w:r>
      <w:r>
        <w:rPr>
          <w:rFonts w:ascii="宋体" w:hint="eastAsia"/>
          <w:b/>
          <w:snapToGrid w:val="0"/>
          <w:color w:val="auto"/>
          <w:kern w:val="0"/>
          <w:szCs w:val="21"/>
          <w:highlight w:val="auto"/>
        </w:rPr>
        <w:t>评标程序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22.4.1</w:t>
      </w:r>
      <w:r>
        <w:rPr>
          <w:rFonts w:ascii="宋体" w:hint="eastAsia"/>
          <w:snapToGrid w:val="0"/>
          <w:color w:val="auto"/>
          <w:kern w:val="0"/>
          <w:szCs w:val="21"/>
          <w:highlight w:val="auto"/>
        </w:rPr>
        <w:t>投标文件初审。初审分为资格性检查和符合性检查。</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）资格性检查。依据法律法规和采购文件的规定，对投标文件中的资格证明等进行审查，以确定投标供应商是否具备投标资格。</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）符合性检查。依据采购文件的规定，从投标文件的有效性、完整性和对采购文件的响应程度进行审查，以确定是否对采购文件的实质性要求作出响应。</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22.4.2</w:t>
      </w:r>
      <w:r>
        <w:rPr>
          <w:rFonts w:ascii="宋体" w:hint="eastAsia"/>
          <w:snapToGrid w:val="0"/>
          <w:color w:val="auto"/>
          <w:kern w:val="0"/>
          <w:szCs w:val="21"/>
          <w:highlight w:val="auto"/>
        </w:rPr>
        <w:t>澄清有关问题。对投标文件中含义不明确、同类问题表述不一致或者有明显文字和计算错误的内容，评标委员会可以书面形式（应当由评标委员会专家签字）要求供应商作出必要的澄清、说明或者纠正。供应商的澄清、说明或者补正应当采用书面形式，由其授权的代表签字，并不得超出投标文件的范围或者改变投标文件的实质性内容。</w:t>
      </w:r>
    </w:p>
    <w:p>
      <w:pPr>
        <w:adjustRightInd w:val="0"/>
        <w:snapToGrid w:val="0"/>
        <w:spacing w:line="360" w:lineRule="auto"/>
        <w:ind w:firstLineChars="200" w:firstLine="420"/>
        <w:jc w:val="left"/>
        <w:rPr>
          <w:rFonts w:ascii="宋体"/>
          <w:b/>
          <w:color w:val="auto"/>
          <w:szCs w:val="21"/>
          <w:highlight w:val="auto"/>
        </w:rPr>
      </w:pPr>
      <w:r>
        <w:rPr>
          <w:rFonts w:ascii="宋体" w:hint="eastAsia"/>
          <w:b/>
          <w:color w:val="auto"/>
          <w:szCs w:val="21"/>
          <w:highlight w:val="auto"/>
        </w:rPr>
        <w:t>授权代表对澄清、说明或者补正内容未签字确认的，将自行承担由此可能导致的对其不利的评审结果，评标委员会按少数服从多数原则对相关内容进行评判。</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22.4.3</w:t>
      </w:r>
      <w:r>
        <w:rPr>
          <w:rFonts w:ascii="宋体" w:hint="eastAsia"/>
          <w:snapToGrid w:val="0"/>
          <w:color w:val="auto"/>
          <w:kern w:val="0"/>
          <w:szCs w:val="21"/>
          <w:highlight w:val="auto"/>
        </w:rPr>
        <w:t>比较与评价。按采购文件中规定的评标方法和标准，对资格性检查和符合性检查合格的投标文件进行商务和技术评估，综合比较与评价。</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snapToGrid w:val="0"/>
          <w:color w:val="auto"/>
          <w:kern w:val="0"/>
          <w:szCs w:val="21"/>
          <w:highlight w:val="auto"/>
        </w:rPr>
        <w:t>22.4.4</w:t>
      </w:r>
      <w:r>
        <w:rPr>
          <w:rFonts w:ascii="宋体" w:hint="eastAsia"/>
          <w:snapToGrid w:val="0"/>
          <w:color w:val="auto"/>
          <w:kern w:val="0"/>
          <w:szCs w:val="21"/>
          <w:highlight w:val="auto"/>
        </w:rPr>
        <w:t>推荐中标候选供应商名单（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第一的中标候选人。多家投标人提供相同品牌产品（单一产品采购项目中的该产品或者非单一产品采购项目的核心产品）且通过资格审查、符合性审查的不同投标人参加同一合同项下</w:t>
      </w:r>
      <w:r>
        <w:rPr>
          <w:rFonts w:ascii="宋体" w:eastAsia="宋体" w:cs="Times New Roman" w:hint="eastAsia"/>
          <w:snapToGrid w:val="0"/>
          <w:color w:val="auto"/>
          <w:kern w:val="0"/>
          <w:szCs w:val="21"/>
          <w:highlight w:val="auto"/>
        </w:rPr>
        <w:t>投标的，按一家投标人计算，评审后得分最高的同品牌投标人获得中标人推荐资格；评审得分相同的，采取随机抽取方式确定，其他同品牌投标人不作为中标候选人。）。</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22.4.5编写评标报告。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23</w:t>
      </w:r>
      <w:r>
        <w:rPr>
          <w:rFonts w:ascii="宋体" w:hint="eastAsia"/>
          <w:b/>
          <w:snapToGrid w:val="0"/>
          <w:color w:val="auto"/>
          <w:kern w:val="0"/>
          <w:szCs w:val="21"/>
          <w:highlight w:val="auto"/>
        </w:rPr>
        <w:t>．废标</w:t>
      </w:r>
    </w:p>
    <w:p>
      <w:pPr>
        <w:adjustRightInd w:val="0"/>
        <w:snapToGrid w:val="0"/>
        <w:spacing w:line="360" w:lineRule="auto"/>
        <w:ind w:firstLineChars="200" w:firstLine="420"/>
        <w:jc w:val="left"/>
        <w:rPr>
          <w:rFonts w:ascii="宋体"/>
          <w:snapToGrid w:val="0"/>
          <w:color w:val="auto"/>
          <w:kern w:val="0"/>
          <w:szCs w:val="21"/>
          <w:highlight w:val="auto"/>
        </w:rPr>
      </w:pPr>
      <w:bookmarkStart w:id="46" w:name="_Toc240450082"/>
      <w:bookmarkStart w:id="47" w:name="_Toc251566655"/>
      <w:r>
        <w:rPr>
          <w:rFonts w:ascii="宋体"/>
          <w:snapToGrid w:val="0"/>
          <w:color w:val="auto"/>
          <w:kern w:val="0"/>
          <w:szCs w:val="21"/>
          <w:highlight w:val="auto"/>
        </w:rPr>
        <w:t>23.1</w:t>
      </w:r>
      <w:r>
        <w:rPr>
          <w:rFonts w:ascii="宋体" w:hint="eastAsia"/>
          <w:snapToGrid w:val="0"/>
          <w:color w:val="auto"/>
          <w:kern w:val="0"/>
          <w:szCs w:val="21"/>
          <w:highlight w:val="auto"/>
        </w:rPr>
        <w:t>根据《中华人民共和国政府采购法》，出现下列情形之一的应予以废标：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1</w:t>
      </w:r>
      <w:r>
        <w:rPr>
          <w:rFonts w:ascii="宋体" w:hint="eastAsia"/>
          <w:snapToGrid w:val="0"/>
          <w:color w:val="auto"/>
          <w:kern w:val="0"/>
          <w:szCs w:val="21"/>
          <w:highlight w:val="auto"/>
        </w:rPr>
        <w:t>）符合专业条件的供应商或者对采购文件作实质响应的供应商不足三家的；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2</w:t>
      </w:r>
      <w:r>
        <w:rPr>
          <w:rFonts w:ascii="宋体" w:hint="eastAsia"/>
          <w:snapToGrid w:val="0"/>
          <w:color w:val="auto"/>
          <w:kern w:val="0"/>
          <w:szCs w:val="21"/>
          <w:highlight w:val="auto"/>
        </w:rPr>
        <w:t>）出现影响采购公正的违法、违规行为的；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3</w:t>
      </w:r>
      <w:r>
        <w:rPr>
          <w:rFonts w:ascii="宋体" w:hint="eastAsia"/>
          <w:snapToGrid w:val="0"/>
          <w:color w:val="auto"/>
          <w:kern w:val="0"/>
          <w:szCs w:val="21"/>
          <w:highlight w:val="auto"/>
        </w:rPr>
        <w:t>）供应商的报价均超过了采购预算，采购人不能支付的；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4</w:t>
      </w:r>
      <w:r>
        <w:rPr>
          <w:rFonts w:ascii="宋体" w:hint="eastAsia"/>
          <w:snapToGrid w:val="0"/>
          <w:color w:val="auto"/>
          <w:kern w:val="0"/>
          <w:szCs w:val="21"/>
          <w:highlight w:val="auto"/>
        </w:rPr>
        <w:t>）因重大变故，采购任务取消的。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23.2 </w:t>
      </w:r>
      <w:r>
        <w:rPr>
          <w:rFonts w:ascii="宋体" w:hint="eastAsia"/>
          <w:snapToGrid w:val="0"/>
          <w:color w:val="auto"/>
          <w:kern w:val="0"/>
          <w:szCs w:val="21"/>
          <w:highlight w:val="auto"/>
        </w:rPr>
        <w:t>废标后，采购人应当重新组织招标；或者经主管部门批准，采取其他方式组织采购。</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8" w:name="_Toc294777236"/>
      <w:bookmarkStart w:id="49" w:name="_Toc26460"/>
      <w:bookmarkStart w:id="50" w:name="_Toc367274982"/>
      <w:bookmarkStart w:id="51" w:name="_Toc60757526"/>
      <w:r>
        <w:rPr>
          <w:rFonts w:ascii="宋体" w:eastAsia="宋体" w:hint="eastAsia"/>
          <w:snapToGrid w:val="0"/>
          <w:color w:val="auto"/>
          <w:sz w:val="21"/>
          <w:szCs w:val="21"/>
          <w:highlight w:val="auto"/>
        </w:rPr>
        <w:t>六、确定中标人及授予合同</w:t>
      </w:r>
      <w:bookmarkEnd w:id="46"/>
      <w:bookmarkEnd w:id="47"/>
      <w:bookmarkEnd w:id="48"/>
      <w:bookmarkEnd w:id="49"/>
      <w:bookmarkEnd w:id="50"/>
      <w:bookmarkEnd w:id="51"/>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24</w:t>
      </w:r>
      <w:r>
        <w:rPr>
          <w:rFonts w:ascii="宋体" w:hint="eastAsia"/>
          <w:b/>
          <w:snapToGrid w:val="0"/>
          <w:color w:val="auto"/>
          <w:kern w:val="0"/>
          <w:szCs w:val="21"/>
          <w:highlight w:val="auto"/>
        </w:rPr>
        <w:t>．中标人的确定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24.1 </w:t>
      </w:r>
      <w:r>
        <w:rPr>
          <w:rFonts w:ascii="宋体" w:hint="eastAsia"/>
          <w:snapToGrid w:val="0"/>
          <w:color w:val="auto"/>
          <w:kern w:val="0"/>
          <w:szCs w:val="21"/>
          <w:highlight w:val="auto"/>
        </w:rPr>
        <w:t>采购代理机构应当自评审结束之日起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个工作日内将评审报告送交采购人。采购人应当自收到评审报告之日起</w:t>
      </w:r>
      <w:r>
        <w:rPr>
          <w:rFonts w:ascii="宋体"/>
          <w:snapToGrid w:val="0"/>
          <w:color w:val="auto"/>
          <w:kern w:val="0"/>
          <w:szCs w:val="21"/>
          <w:highlight w:val="auto"/>
        </w:rPr>
        <w:t>5</w:t>
      </w:r>
      <w:r>
        <w:rPr>
          <w:rFonts w:ascii="宋体" w:hint="eastAsia"/>
          <w:snapToGrid w:val="0"/>
          <w:color w:val="auto"/>
          <w:kern w:val="0"/>
          <w:szCs w:val="21"/>
          <w:highlight w:val="auto"/>
        </w:rPr>
        <w:t>个工作日内在评审报告推荐的中标或者成交候选人中按顺序确定中标或者成交供应商。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采购人或者采购代理机构应当自中标、成交供应商确定之日起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个工作日内，发出中标、成交通知书，并将在发布招标公告的同一网站公告中标、成交结果，采购文件随中标结果同时公告。</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24.2 </w:t>
      </w:r>
      <w:r>
        <w:rPr>
          <w:rFonts w:ascii="宋体" w:hint="eastAsia"/>
          <w:snapToGrid w:val="0"/>
          <w:color w:val="auto"/>
          <w:kern w:val="0"/>
          <w:szCs w:val="21"/>
          <w:highlight w:val="auto"/>
        </w:rPr>
        <w:t>除国务院财政部门规定的情形外，采购人、采购代理机构不得以任何理由组织重新评审。采购人、采购代理机构按照国务院财政部门的规定组织重新评审的，应当书面报告本级人民政府财政部门。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24.3 </w:t>
      </w:r>
      <w:r>
        <w:rPr>
          <w:rFonts w:ascii="宋体" w:hint="eastAsia"/>
          <w:snapToGrid w:val="0"/>
          <w:color w:val="auto"/>
          <w:kern w:val="0"/>
          <w:szCs w:val="21"/>
          <w:highlight w:val="auto"/>
        </w:rPr>
        <w:t>在采购机构发出中标通知书前，预中标人有违反有关法律法规和本项目要求行为的，则取消其预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24.4 </w:t>
      </w:r>
      <w:r>
        <w:rPr>
          <w:rFonts w:ascii="宋体" w:hint="eastAsia"/>
          <w:snapToGrid w:val="0"/>
          <w:color w:val="auto"/>
          <w:kern w:val="0"/>
          <w:szCs w:val="21"/>
          <w:highlight w:val="auto"/>
        </w:rPr>
        <w:t>供应商全部接受合同条件并签订合同后，中标通知书亦成为合同的组成部分。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24.5 </w:t>
      </w:r>
      <w:r>
        <w:rPr>
          <w:rFonts w:ascii="宋体" w:hint="eastAsia"/>
          <w:snapToGrid w:val="0"/>
          <w:color w:val="auto"/>
          <w:kern w:val="0"/>
          <w:szCs w:val="21"/>
          <w:highlight w:val="auto"/>
        </w:rPr>
        <w:t>如中标人拒绝承担中标的项目，或提出采购机构不能接受的条件，致使合同无法签订，采购机构将取消其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25</w:t>
      </w:r>
      <w:r>
        <w:rPr>
          <w:rFonts w:ascii="宋体" w:hint="eastAsia"/>
          <w:b/>
          <w:snapToGrid w:val="0"/>
          <w:color w:val="auto"/>
          <w:kern w:val="0"/>
          <w:szCs w:val="21"/>
          <w:highlight w:val="auto"/>
        </w:rPr>
        <w:t>．合同授予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25.1 </w:t>
      </w:r>
      <w:r>
        <w:rPr>
          <w:rFonts w:ascii="宋体" w:hint="eastAsia"/>
          <w:snapToGrid w:val="0"/>
          <w:color w:val="auto"/>
          <w:kern w:val="0"/>
          <w:szCs w:val="21"/>
          <w:highlight w:val="auto"/>
        </w:rPr>
        <w:t>本项目的合同将授予按本须知第</w:t>
      </w:r>
      <w:r>
        <w:rPr>
          <w:rFonts w:ascii="宋体"/>
          <w:snapToGrid w:val="0"/>
          <w:color w:val="auto"/>
          <w:kern w:val="0"/>
          <w:szCs w:val="21"/>
          <w:highlight w:val="auto"/>
        </w:rPr>
        <w:t>24.1</w:t>
      </w:r>
      <w:r>
        <w:rPr>
          <w:rFonts w:ascii="宋体" w:hint="eastAsia"/>
          <w:snapToGrid w:val="0"/>
          <w:color w:val="auto"/>
          <w:kern w:val="0"/>
          <w:szCs w:val="21"/>
          <w:highlight w:val="auto"/>
        </w:rPr>
        <w:t>款所确定的中标人。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25.2 </w:t>
      </w:r>
      <w:r>
        <w:rPr>
          <w:rFonts w:ascii="宋体" w:hint="eastAsia"/>
          <w:snapToGrid w:val="0"/>
          <w:color w:val="auto"/>
          <w:kern w:val="0"/>
          <w:szCs w:val="21"/>
          <w:highlight w:val="auto"/>
        </w:rPr>
        <w:t>中标人因不可抗力或者自身原因不能履行合同的，采购人可以与排位在中标人之后的第一位的中标候选人签订合同，以此类推。推荐中标候选人均放弃中标的，依法重新组织招标或经批准按其他方式执行。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25.3</w:t>
      </w:r>
      <w:r>
        <w:rPr>
          <w:rFonts w:ascii="宋体" w:hint="eastAsia"/>
          <w:snapToGrid w:val="0"/>
          <w:color w:val="auto"/>
          <w:kern w:val="0"/>
          <w:szCs w:val="21"/>
          <w:highlight w:val="auto"/>
        </w:rPr>
        <w:t>采购人在授予合同时有权对招标的数量和服务予以增加或减少，但不得对单价或其他的条款和条件做任何改变。</w:t>
      </w:r>
    </w:p>
    <w:p>
      <w:pPr>
        <w:adjustRightInd w:val="0"/>
        <w:snapToGrid w:val="0"/>
        <w:spacing w:line="360" w:lineRule="auto"/>
        <w:rPr>
          <w:rFonts w:ascii="宋体"/>
          <w:b/>
          <w:snapToGrid w:val="0"/>
          <w:color w:val="auto"/>
          <w:kern w:val="0"/>
          <w:szCs w:val="21"/>
          <w:highlight w:val="auto"/>
        </w:rPr>
      </w:pPr>
      <w:r>
        <w:rPr>
          <w:rFonts w:ascii="宋体"/>
          <w:b/>
          <w:snapToGrid w:val="0"/>
          <w:color w:val="auto"/>
          <w:kern w:val="0"/>
          <w:szCs w:val="21"/>
          <w:highlight w:val="auto"/>
        </w:rPr>
        <w:t xml:space="preserve">    26</w:t>
      </w:r>
      <w:r>
        <w:rPr>
          <w:rFonts w:ascii="宋体" w:hint="eastAsia"/>
          <w:b/>
          <w:snapToGrid w:val="0"/>
          <w:color w:val="auto"/>
          <w:kern w:val="0"/>
          <w:szCs w:val="21"/>
          <w:highlight w:val="auto"/>
        </w:rPr>
        <w:t>．签订合同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26.1 </w:t>
      </w:r>
      <w:r>
        <w:rPr>
          <w:rFonts w:ascii="宋体" w:hint="eastAsia"/>
          <w:snapToGrid w:val="0"/>
          <w:color w:val="auto"/>
          <w:kern w:val="0"/>
          <w:szCs w:val="21"/>
          <w:highlight w:val="auto"/>
        </w:rPr>
        <w:t>中标人应按中标通知书规定的时间与采购人签订合同，并提交履约保证金。中标人在领取中标通知书时须向采购人提供一份关于本项目在实施过程中的相关人员的通讯录作为合同附件。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26.2 </w:t>
      </w:r>
      <w:r>
        <w:rPr>
          <w:rFonts w:ascii="宋体" w:hint="eastAsia"/>
          <w:snapToGrid w:val="0"/>
          <w:color w:val="auto"/>
          <w:kern w:val="0"/>
          <w:szCs w:val="21"/>
          <w:highlight w:val="auto"/>
        </w:rPr>
        <w:t>中标人如不遵守采购文件或投标文件各项条款的邀约与要约，或在接到中标通知书后借故拖延，拒签合同的，采购人将依据国家和采购文件有关规定予以相应处罚。给采购人造成的损失的还应当予以赔偿，采购人可根据</w:t>
      </w:r>
      <w:r>
        <w:rPr>
          <w:rFonts w:ascii="宋体"/>
          <w:snapToGrid w:val="0"/>
          <w:color w:val="auto"/>
          <w:kern w:val="0"/>
          <w:szCs w:val="21"/>
          <w:highlight w:val="auto"/>
        </w:rPr>
        <w:t>25.2</w:t>
      </w:r>
      <w:r>
        <w:rPr>
          <w:rFonts w:ascii="宋体" w:hint="eastAsia"/>
          <w:snapToGrid w:val="0"/>
          <w:color w:val="auto"/>
          <w:kern w:val="0"/>
          <w:szCs w:val="21"/>
          <w:highlight w:val="auto"/>
        </w:rPr>
        <w:t>的原则另行选择中标人；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 26.3 </w:t>
      </w:r>
      <w:r>
        <w:rPr>
          <w:rFonts w:ascii="宋体" w:hint="eastAsia"/>
          <w:snapToGrid w:val="0"/>
          <w:color w:val="auto"/>
          <w:kern w:val="0"/>
          <w:szCs w:val="21"/>
          <w:highlight w:val="auto"/>
        </w:rPr>
        <w:t>采购文件、中标人的投标文件及投标修改文件、评标过程中有关澄清文件及经供应商法定代表人或授权代表签字确认的询标回复和承诺及中标通知书均作为合同组成部分。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27</w:t>
      </w:r>
      <w:r>
        <w:rPr>
          <w:rFonts w:ascii="宋体" w:hint="eastAsia"/>
          <w:b/>
          <w:snapToGrid w:val="0"/>
          <w:color w:val="auto"/>
          <w:kern w:val="0"/>
          <w:szCs w:val="21"/>
          <w:highlight w:val="auto"/>
        </w:rPr>
        <w:t>．履约保证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27.1</w:t>
      </w:r>
      <w:r>
        <w:rPr>
          <w:rFonts w:ascii="宋体" w:hint="eastAsia"/>
          <w:snapToGrid w:val="0"/>
          <w:color w:val="auto"/>
          <w:kern w:val="0"/>
          <w:szCs w:val="21"/>
          <w:highlight w:val="auto"/>
        </w:rPr>
        <w:t>履约保证金在合同部分约定。履约保证金以现金支票或转账支票或电汇或银行汇票（最终由采购人确定）形式支付。</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27.2 </w:t>
      </w:r>
      <w:r>
        <w:rPr>
          <w:rFonts w:ascii="宋体" w:hint="eastAsia"/>
          <w:snapToGrid w:val="0"/>
          <w:color w:val="auto"/>
          <w:kern w:val="0"/>
          <w:szCs w:val="21"/>
          <w:highlight w:val="auto"/>
        </w:rPr>
        <w:t>如果中标人没有按照上述第</w:t>
      </w:r>
      <w:r>
        <w:rPr>
          <w:rFonts w:ascii="宋体"/>
          <w:snapToGrid w:val="0"/>
          <w:color w:val="auto"/>
          <w:kern w:val="0"/>
          <w:szCs w:val="21"/>
          <w:highlight w:val="auto"/>
        </w:rPr>
        <w:t>26</w:t>
      </w:r>
      <w:r>
        <w:rPr>
          <w:rFonts w:ascii="宋体" w:hint="eastAsia"/>
          <w:snapToGrid w:val="0"/>
          <w:color w:val="auto"/>
          <w:kern w:val="0"/>
          <w:szCs w:val="21"/>
          <w:highlight w:val="auto"/>
        </w:rPr>
        <w:t>或</w:t>
      </w:r>
      <w:r>
        <w:rPr>
          <w:rFonts w:ascii="宋体"/>
          <w:snapToGrid w:val="0"/>
          <w:color w:val="auto"/>
          <w:kern w:val="0"/>
          <w:szCs w:val="21"/>
          <w:highlight w:val="auto"/>
        </w:rPr>
        <w:t>27.1</w:t>
      </w:r>
      <w:r>
        <w:rPr>
          <w:rFonts w:ascii="宋体" w:hint="eastAsia"/>
          <w:snapToGrid w:val="0"/>
          <w:color w:val="auto"/>
          <w:kern w:val="0"/>
          <w:szCs w:val="21"/>
          <w:highlight w:val="auto"/>
        </w:rPr>
        <w:t>条规定执行，采购人将有充分理由取消该中标决定。在此情况下，采购人可将合同标授予下一个中标候选人。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28.</w:t>
      </w:r>
      <w:r>
        <w:rPr>
          <w:rFonts w:ascii="宋体" w:hint="eastAsia"/>
          <w:b/>
          <w:snapToGrid w:val="0"/>
          <w:color w:val="auto"/>
          <w:kern w:val="0"/>
          <w:szCs w:val="21"/>
          <w:highlight w:val="auto"/>
        </w:rPr>
        <w:t>招标代理服务费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本项目的招标代理服务费由中标人支付，详见前附表。</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w:t>
      </w:r>
      <w:r>
        <w:rPr>
          <w:rFonts w:ascii="宋体" w:hint="eastAsia"/>
          <w:b/>
          <w:snapToGrid w:val="0"/>
          <w:color w:val="auto"/>
          <w:kern w:val="0"/>
          <w:szCs w:val="21"/>
          <w:highlight w:val="auto"/>
        </w:rPr>
        <w:t>质疑与投诉</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根据《中华人民共和国政府采购法》、《财政部关于加强政府采购供应商投诉受理审查工作的通知》</w:t>
      </w:r>
      <w:r>
        <w:rPr>
          <w:rFonts w:ascii="宋体"/>
          <w:snapToGrid w:val="0"/>
          <w:color w:val="auto"/>
          <w:kern w:val="0"/>
          <w:szCs w:val="21"/>
          <w:highlight w:val="auto"/>
        </w:rPr>
        <w:t>(</w:t>
      </w:r>
      <w:r>
        <w:rPr>
          <w:rFonts w:ascii="宋体" w:hint="eastAsia"/>
          <w:snapToGrid w:val="0"/>
          <w:color w:val="auto"/>
          <w:kern w:val="0"/>
          <w:szCs w:val="21"/>
          <w:highlight w:val="auto"/>
        </w:rPr>
        <w:t>财库〔</w:t>
      </w:r>
      <w:r>
        <w:rPr>
          <w:rFonts w:ascii="宋体"/>
          <w:snapToGrid w:val="0"/>
          <w:color w:val="auto"/>
          <w:kern w:val="0"/>
          <w:szCs w:val="21"/>
          <w:highlight w:val="auto"/>
        </w:rPr>
        <w:t>2007</w:t>
      </w: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号</w:t>
      </w:r>
      <w:r>
        <w:rPr>
          <w:rFonts w:ascii="宋体"/>
          <w:snapToGrid w:val="0"/>
          <w:color w:val="auto"/>
          <w:kern w:val="0"/>
          <w:szCs w:val="21"/>
          <w:highlight w:val="auto"/>
        </w:rPr>
        <w:t>)</w:t>
      </w:r>
      <w:r>
        <w:rPr>
          <w:rFonts w:ascii="宋体" w:hint="eastAsia"/>
          <w:snapToGrid w:val="0"/>
          <w:color w:val="auto"/>
          <w:kern w:val="0"/>
          <w:szCs w:val="21"/>
          <w:highlight w:val="auto"/>
        </w:rPr>
        <w:t>的规定，政府采购供应商（供应商，下同）可以依法提起质疑和投诉。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29.1</w:t>
      </w:r>
      <w:r>
        <w:rPr>
          <w:rFonts w:ascii="宋体" w:hint="eastAsia"/>
          <w:b/>
          <w:snapToGrid w:val="0"/>
          <w:color w:val="auto"/>
          <w:kern w:val="0"/>
          <w:szCs w:val="21"/>
          <w:highlight w:val="auto"/>
        </w:rPr>
        <w:t>供应商询问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供应商对政府采购活动事项有疑问的，可以向采购机构提出询问，采购人或者采购代理机构应当在</w:t>
      </w:r>
      <w:r>
        <w:rPr>
          <w:rFonts w:ascii="宋体"/>
          <w:snapToGrid w:val="0"/>
          <w:color w:val="auto"/>
          <w:kern w:val="0"/>
          <w:szCs w:val="21"/>
          <w:highlight w:val="auto"/>
        </w:rPr>
        <w:t>3</w:t>
      </w:r>
      <w:r>
        <w:rPr>
          <w:rFonts w:ascii="宋体" w:hint="eastAsia"/>
          <w:snapToGrid w:val="0"/>
          <w:color w:val="auto"/>
          <w:kern w:val="0"/>
          <w:szCs w:val="21"/>
          <w:highlight w:val="auto"/>
        </w:rPr>
        <w:t>个工作日内对供应商依法提出的询问作出答复，但答复的内容不得涉及商业秘密。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29.2</w:t>
      </w:r>
      <w:r>
        <w:rPr>
          <w:rFonts w:ascii="宋体" w:hint="eastAsia"/>
          <w:b/>
          <w:snapToGrid w:val="0"/>
          <w:color w:val="auto"/>
          <w:kern w:val="0"/>
          <w:szCs w:val="21"/>
          <w:highlight w:val="auto"/>
        </w:rPr>
        <w:t>供应商质疑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29.2.1</w:t>
      </w:r>
      <w:r>
        <w:rPr>
          <w:rFonts w:ascii="宋体" w:hint="eastAsia"/>
          <w:snapToGrid w:val="0"/>
          <w:color w:val="auto"/>
          <w:kern w:val="0"/>
          <w:szCs w:val="21"/>
          <w:highlight w:val="auto"/>
        </w:rPr>
        <w:t>供应商认为采购文件、采购过程和中标、成交结果使自己的权益受到损害的，可以在知道或者应知其权益受到损害之日起七个工作日内，以书面形式向采购机构提出质疑。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）供应商如认为招标公告信息使自身的合法权益受到损害的，应于自招标公告发布之日起七个工作日内以书面形式向采购机构提出质疑；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供应商如对可以质疑的采购文件提出质疑的，应于收到采购文件之日或者采购文件公告期限届满之日起七个工作日内以书面形式向采购机构提出质疑（采购文件领取截止时间之后获取的，应于自采购文件领取截止时间之日起七个工作日内以书面形式向采购机构提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）供应商如对采购过程提出质疑的，应于各采购程序环节结束之日七个工作日内以书面形式向采购机构提出质疑。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）供应商如对中标或者成交结果提出质疑的，应为中标或者成交结果公告期限届满之日起七个工作日内以书面形式向采购机构提出质疑。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29.2.2</w:t>
      </w:r>
      <w:r>
        <w:rPr>
          <w:rFonts w:ascii="宋体" w:hint="eastAsia"/>
          <w:snapToGrid w:val="0"/>
          <w:color w:val="auto"/>
          <w:kern w:val="0"/>
          <w:szCs w:val="21"/>
          <w:highlight w:val="auto"/>
        </w:rPr>
        <w:t>供应商提交的质疑书需一式三份，由法定代表人签字（或盖章）并加盖单位公章。质疑书至少应包括下列主要内容：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）质疑人的名称、地址、邮政编码、联系人、联系电话，以及被质疑人名称及联系方式；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）被质疑采购项目名称、编号及采购内容；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）具体的质疑事项及事实依据；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）认为自己合法权益受到损害或可能受到损害的相关证据材料；</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）提出质疑的日期。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29.2.3</w:t>
      </w:r>
      <w:r>
        <w:rPr>
          <w:rFonts w:ascii="宋体" w:hint="eastAsia"/>
          <w:snapToGrid w:val="0"/>
          <w:color w:val="auto"/>
          <w:kern w:val="0"/>
          <w:szCs w:val="21"/>
          <w:highlight w:val="auto"/>
        </w:rPr>
        <w:t>采购机构应当在收到供应商的书面质疑后七个工作日内作出答复，并以书面形式通知质疑供应商和其他与质疑处理结果有利害关系的政府采购当事人，但答复的内容不得涉及商业秘密。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29.3</w:t>
      </w:r>
      <w:r>
        <w:rPr>
          <w:rFonts w:ascii="宋体" w:hint="eastAsia"/>
          <w:b/>
          <w:snapToGrid w:val="0"/>
          <w:color w:val="auto"/>
          <w:kern w:val="0"/>
          <w:szCs w:val="21"/>
          <w:highlight w:val="auto"/>
        </w:rPr>
        <w:t>供应商投诉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snapToGrid w:val="0"/>
          <w:color w:val="auto"/>
          <w:kern w:val="0"/>
          <w:szCs w:val="21"/>
          <w:highlight w:val="auto"/>
        </w:rPr>
        <w:t>质疑供应商对采购机构的答复不满意或者采购机构未在规定的时间内作出答复的，可以在答复期满后十五个工作日内向同级政府采购监督管理部门提出投诉。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30</w:t>
      </w:r>
      <w:r>
        <w:rPr>
          <w:rFonts w:ascii="宋体" w:hint="eastAsia"/>
          <w:b/>
          <w:snapToGrid w:val="0"/>
          <w:color w:val="auto"/>
          <w:kern w:val="0"/>
          <w:szCs w:val="21"/>
          <w:highlight w:val="auto"/>
        </w:rPr>
        <w:t>．采购结束</w:t>
      </w:r>
    </w:p>
    <w:p>
      <w:pPr>
        <w:adjustRightInd w:val="0"/>
        <w:snapToGrid w:val="0"/>
        <w:spacing w:line="360" w:lineRule="auto"/>
        <w:ind w:firstLineChars="200" w:firstLine="420"/>
        <w:jc w:val="left"/>
        <w:rPr>
          <w:rFonts w:ascii="宋体" w:cs="仿宋_GB2312"/>
          <w:color w:val="auto"/>
          <w:sz w:val="32"/>
          <w:szCs w:val="32"/>
          <w:lang w:val="zh-CN"/>
          <w:highlight w:val="auto"/>
        </w:rPr>
      </w:pPr>
      <w:r>
        <w:rPr>
          <w:rFonts w:ascii="宋体"/>
          <w:snapToGrid w:val="0"/>
          <w:color w:val="auto"/>
          <w:kern w:val="0"/>
          <w:szCs w:val="21"/>
          <w:highlight w:val="auto"/>
        </w:rPr>
        <w:t xml:space="preserve">30.1 </w:t>
      </w:r>
      <w:r>
        <w:rPr>
          <w:rFonts w:ascii="宋体" w:hint="eastAsia"/>
          <w:snapToGrid w:val="0"/>
          <w:color w:val="auto"/>
          <w:kern w:val="0"/>
          <w:szCs w:val="21"/>
          <w:highlight w:val="auto"/>
        </w:rPr>
        <w:t>中标人与采购人签订合同生效后即为采购结束。本项目的投标文件不予退回。</w:t>
      </w:r>
      <w:bookmarkEnd w:id="16"/>
      <w:bookmarkEnd w:id="17"/>
      <w:bookmarkEnd w:id="18"/>
      <w:bookmarkEnd w:id="19"/>
      <w:r>
        <w:rPr>
          <w:color w:val="auto"/>
          <w:sz w:val="24"/>
          <w:highlight w:val="auto"/>
        </w:rPr>
        <w:br w:type="page"/>
      </w:r>
      <w:bookmarkStart w:id="52" w:name="_Toc107822520"/>
      <w:bookmarkStart w:id="53" w:name="_Toc227057922"/>
      <w:bookmarkStart w:id="54" w:name="_Toc226969316"/>
      <w:bookmarkStart w:id="55" w:name="_Toc17509"/>
      <w:bookmarkStart w:id="56" w:name="_Toc60757527"/>
      <w:r>
        <w:rPr>
          <w:rFonts w:ascii="宋体" w:hint="eastAsia"/>
          <w:b/>
          <w:color w:val="auto"/>
          <w:sz w:val="32"/>
          <w:szCs w:val="32"/>
          <w:highlight w:val="auto"/>
        </w:rPr>
        <w:t>第三章</w:t>
      </w:r>
      <w:r>
        <w:rPr>
          <w:rFonts w:ascii="宋体"/>
          <w:b/>
          <w:color w:val="auto"/>
          <w:sz w:val="32"/>
          <w:szCs w:val="32"/>
          <w:highlight w:val="auto"/>
        </w:rPr>
        <w:t xml:space="preserve">  </w:t>
      </w:r>
      <w:bookmarkEnd w:id="52"/>
      <w:bookmarkEnd w:id="53"/>
      <w:bookmarkEnd w:id="54"/>
      <w:r>
        <w:rPr>
          <w:rFonts w:ascii="宋体" w:hint="eastAsia"/>
          <w:b/>
          <w:color w:val="auto"/>
          <w:sz w:val="32"/>
          <w:szCs w:val="32"/>
          <w:highlight w:val="auto"/>
        </w:rPr>
        <w:t>采购合同</w:t>
      </w:r>
      <w:bookmarkEnd w:id="55"/>
      <w:bookmarkEnd w:id="56"/>
    </w:p>
    <w:p>
      <w:pPr>
        <w:spacing w:line="360" w:lineRule="auto"/>
        <w:jc w:val="center"/>
        <w:rPr>
          <w:rFonts w:ascii="楷体_GB2312" w:eastAsia="楷体_GB2312" w:hint="eastAsia"/>
          <w:b/>
          <w:bCs/>
          <w:color w:val="auto"/>
          <w:spacing w:val="20"/>
          <w:sz w:val="32"/>
          <w:szCs w:val="32"/>
          <w:lang w:eastAsia="zh-CN"/>
          <w:highlight w:val="auto"/>
        </w:rPr>
      </w:pPr>
      <w:bookmarkStart w:id="57" w:name="_Toc60757530"/>
      <w:bookmarkStart w:id="58" w:name="_Toc227057959"/>
      <w:bookmarkStart w:id="59" w:name="_Toc226969353"/>
      <w:bookmarkStart w:id="60" w:name="_Toc107822570"/>
      <w:r>
        <w:rPr>
          <w:rFonts w:ascii="楷体_GB2312" w:eastAsia="楷体_GB2312" w:hint="eastAsia"/>
          <w:b/>
          <w:bCs/>
          <w:color w:val="auto"/>
          <w:spacing w:val="20"/>
          <w:sz w:val="32"/>
          <w:szCs w:val="32"/>
          <w:highlight w:val="auto"/>
        </w:rPr>
        <w:t>货物采购合同</w:t>
      </w:r>
    </w:p>
    <w:p>
      <w:pPr>
        <w:pStyle w:val="21"/>
        <w:rPr>
          <w:color w:val="auto"/>
          <w:highlight w:val="auto"/>
        </w:rPr>
      </w:pPr>
    </w:p>
    <w:tbl>
      <w:tblPr>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3864"/>
        <w:gridCol w:w="4658"/>
      </w:tblGrid>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供方</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合同编号：</w:t>
            </w:r>
            <w:r>
              <w:rPr>
                <w:rFonts w:ascii="楷体_GB2312" w:eastAsia="楷体_GB2312" w:hint="eastAsia"/>
                <w:color w:val="auto"/>
                <w:sz w:val="24"/>
                <w:highlight w:val="auto"/>
              </w:rPr>
              <w:t xml:space="preserve"> </w:t>
            </w:r>
          </w:p>
        </w:tc>
      </w:tr>
      <w:tr>
        <w:tc>
          <w:tcPr>
            <w:tcW w:w="3864" w:type="dxa"/>
            <w:vMerge w:val="restart"/>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采购方： 嘉兴海关综合技术服务中心</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采购编号：</w:t>
            </w:r>
            <w:r>
              <w:rPr>
                <w:rFonts w:ascii="楷体_GB2312" w:eastAsia="楷体_GB2312" w:hint="eastAsia"/>
                <w:color w:val="auto"/>
                <w:sz w:val="24"/>
                <w:highlight w:val="auto"/>
              </w:rPr>
              <w:t xml:space="preserve"> </w:t>
            </w:r>
          </w:p>
        </w:tc>
      </w:tr>
      <w:tr>
        <w:tc>
          <w:tcPr>
            <w:tcW w:w="3864" w:type="dxa"/>
            <w:vMerge/>
          </w:tcPr>
          <w:p/>
        </w:tc>
        <w:tc>
          <w:tcPr>
            <w:tcW w:w="4658" w:type="dxa"/>
          </w:tcPr>
          <w:p>
            <w:pPr>
              <w:spacing w:line="520" w:lineRule="exact"/>
              <w:jc w:val="left"/>
              <w:rPr>
                <w:rFonts w:ascii="楷体_GB2312" w:eastAsia="楷体_GB2312"/>
                <w:color w:val="auto"/>
                <w:sz w:val="24"/>
                <w:lang w:val="zh-CN"/>
                <w:highlight w:val="auto"/>
              </w:rPr>
            </w:pPr>
            <w:r>
              <w:rPr>
                <w:rFonts w:ascii="楷体_GB2312" w:eastAsia="楷体_GB2312" w:hint="eastAsia"/>
                <w:color w:val="auto"/>
                <w:sz w:val="24"/>
                <w:highlight w:val="auto"/>
              </w:rPr>
              <w:t>采购项目</w:t>
            </w:r>
            <w:r>
              <w:rPr>
                <w:rFonts w:ascii="楷体_GB2312" w:eastAsia="楷体_GB2312" w:hint="eastAsia"/>
                <w:color w:val="auto"/>
                <w:sz w:val="24"/>
                <w:lang w:val="zh-CN"/>
                <w:highlight w:val="auto"/>
              </w:rPr>
              <w:t>：</w:t>
            </w:r>
            <w:r>
              <w:rPr>
                <w:rFonts w:ascii="楷体_GB2312" w:eastAsia="楷体_GB2312" w:hint="eastAsia"/>
                <w:color w:val="auto"/>
                <w:sz w:val="24"/>
                <w:highlight w:val="auto"/>
              </w:rPr>
              <w:t xml:space="preserve"> </w:t>
            </w:r>
          </w:p>
        </w:tc>
      </w:tr>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委托代理机构：大地工程咨询有限公司</w:t>
            </w:r>
          </w:p>
        </w:tc>
        <w:tc>
          <w:tcPr>
            <w:tcW w:w="4658" w:type="dxa"/>
          </w:tcPr>
          <w:p>
            <w:pPr>
              <w:spacing w:line="520" w:lineRule="exact"/>
              <w:rPr>
                <w:rFonts w:ascii="楷体_GB2312" w:eastAsia="楷体_GB2312"/>
                <w:color w:val="auto"/>
                <w:sz w:val="24"/>
                <w:lang w:val="zh-CN"/>
                <w:highlight w:val="auto"/>
              </w:rPr>
            </w:pPr>
            <w:r>
              <w:rPr>
                <w:rFonts w:ascii="楷体_GB2312" w:eastAsia="楷体_GB2312" w:hint="eastAsia"/>
                <w:color w:val="auto"/>
                <w:sz w:val="24"/>
                <w:highlight w:val="auto"/>
              </w:rPr>
              <w:t xml:space="preserve"> </w:t>
            </w:r>
          </w:p>
        </w:tc>
      </w:tr>
      <w:tr>
        <w:tc>
          <w:tcPr>
            <w:tcW w:w="8522" w:type="dxa"/>
            <w:gridSpan w:val="2"/>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合同签约地：</w:t>
            </w:r>
            <w:r>
              <w:rPr>
                <w:rFonts w:ascii="楷体_GB2312" w:eastAsia="楷体_GB2312" w:hint="eastAsia"/>
                <w:color w:val="auto"/>
                <w:sz w:val="24"/>
                <w:highlight w:val="auto"/>
              </w:rPr>
              <w:t xml:space="preserve"> </w:t>
            </w:r>
          </w:p>
        </w:tc>
      </w:tr>
    </w:tbl>
    <w:p>
      <w:pPr>
        <w:spacing w:line="360" w:lineRule="auto"/>
        <w:ind w:firstLineChars="350" w:firstLine="840"/>
        <w:rPr>
          <w:rFonts w:ascii="楷体_GB2312" w:eastAsia="楷体_GB2312"/>
          <w:color w:val="auto"/>
          <w:sz w:val="24"/>
          <w:lang w:val="zh-CN"/>
          <w:highlight w:val="auto"/>
        </w:rPr>
      </w:pPr>
    </w:p>
    <w:p>
      <w:pPr>
        <w:spacing w:line="360" w:lineRule="auto"/>
        <w:ind w:firstLineChars="350" w:firstLine="840"/>
        <w:rPr>
          <w:color w:val="auto"/>
          <w:highlight w:val="auto"/>
        </w:rPr>
      </w:pPr>
      <w:r>
        <w:rPr>
          <w:rFonts w:ascii="楷体_GB2312" w:eastAsia="楷体_GB2312" w:hint="eastAsia"/>
          <w:color w:val="auto"/>
          <w:sz w:val="24"/>
          <w:lang w:val="zh-CN"/>
          <w:highlight w:val="auto"/>
        </w:rPr>
        <w:t>根据《中华人民共和国民法典》、《中华人民共和国政府采购法》等有关法律法规，遵循平等自愿原则，经双方友好协商一致，达成以下合同条款：</w:t>
      </w:r>
    </w:p>
    <w:p>
      <w:pPr>
        <w:numPr>
          <w:ilvl w:val="0"/>
          <w:numId w:val="5"/>
        </w:numPr>
        <w:spacing w:beforeLines="50" w:before="156" w:line="360" w:lineRule="auto"/>
        <w:rPr>
          <w:rFonts w:ascii="楷体_GB2312" w:eastAsia="楷体_GB2312"/>
          <w:color w:val="auto"/>
          <w:sz w:val="24"/>
          <w:highlight w:val="auto"/>
        </w:rPr>
      </w:pPr>
      <w:r>
        <w:rPr>
          <w:rFonts w:ascii="楷体_GB2312" w:eastAsia="楷体_GB2312" w:hint="eastAsia"/>
          <w:color w:val="auto"/>
          <w:sz w:val="24"/>
          <w:highlight w:val="auto"/>
        </w:rPr>
        <w:t>本次采购涉及的招标文件（或采购文件）、投标文件（或响应文件）及招标（或磋商）现场供方的询标记录（或补充承诺）与本合同具有同等法律效力，如有与</w:t>
      </w:r>
      <w:r>
        <w:rPr>
          <w:rFonts w:ascii="楷体_GB2312" w:eastAsia="楷体_GB2312" w:hint="eastAsia"/>
          <w:bCs/>
          <w:color w:val="auto"/>
          <w:sz w:val="24"/>
          <w:highlight w:val="auto"/>
        </w:rPr>
        <w:t>本合同</w:t>
      </w:r>
      <w:r>
        <w:rPr>
          <w:rFonts w:ascii="楷体_GB2312" w:eastAsia="楷体_GB2312" w:hint="eastAsia"/>
          <w:color w:val="auto"/>
          <w:sz w:val="24"/>
          <w:highlight w:val="auto"/>
        </w:rPr>
        <w:t>条款有冲突部分则按有利于需方为准。</w:t>
      </w:r>
    </w:p>
    <w:p>
      <w:pPr>
        <w:spacing w:beforeLines="50" w:before="156"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第二条 货物名称、规格、数量、价格</w:t>
      </w: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488"/>
        <w:gridCol w:w="1659"/>
        <w:gridCol w:w="2076"/>
        <w:gridCol w:w="540"/>
        <w:gridCol w:w="1035"/>
        <w:gridCol w:w="1350"/>
        <w:gridCol w:w="1307"/>
      </w:tblGrid>
      <w:tr>
        <w:trPr>
          <w:trHeight w:val="495"/>
        </w:trP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序号</w:t>
            </w:r>
          </w:p>
        </w:tc>
        <w:tc>
          <w:tcPr>
            <w:tcW w:w="1659" w:type="dxa"/>
            <w:tcBorders>
              <w:top w:val="single" w:sz="4" w:space="0" w:color="auto"/>
              <w:left w:val="single" w:sz="4" w:space="0" w:color="auto"/>
              <w:bottom w:val="single" w:sz="4" w:space="0" w:color="auto"/>
              <w:right w:val="single" w:sz="4" w:space="0" w:color="auto"/>
            </w:tcBorders>
            <w:vAlign w:val="center"/>
          </w:tcPr>
          <w:p>
            <w:pPr>
              <w:autoSpaceDE w:val="0"/>
              <w:autoSpaceDN w:val="0"/>
              <w:adjustRightInd w:val="0"/>
              <w:spacing w:line="360" w:lineRule="auto"/>
              <w:jc w:val="center"/>
              <w:rPr>
                <w:rFonts w:ascii="楷体_GB2312" w:eastAsia="楷体_GB2312"/>
                <w:b/>
                <w:bCs/>
                <w:color w:val="auto"/>
                <w:sz w:val="24"/>
                <w:highlight w:val="auto"/>
              </w:rPr>
            </w:pPr>
            <w:r>
              <w:rPr>
                <w:rFonts w:ascii="楷体_GB2312" w:eastAsia="楷体_GB2312" w:hint="eastAsia"/>
                <w:b/>
                <w:bCs/>
                <w:color w:val="auto"/>
                <w:sz w:val="24"/>
                <w:lang w:val="zh-CN"/>
                <w:highlight w:val="auto"/>
              </w:rPr>
              <w:t>货物名称</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型号规格</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单位</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数量</w:t>
            </w: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单 价</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合计金额</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r>
              <w:rPr>
                <w:rFonts w:ascii="楷体_GB2312" w:eastAsia="楷体_GB2312" w:hint="eastAsia"/>
                <w:color w:val="auto"/>
                <w:sz w:val="24"/>
                <w:highlight w:val="auto"/>
              </w:rPr>
              <w:t>1</w:t>
            </w: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详见附件1供应商</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《报价明细表》</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台套</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u w:val="single"/>
                <w:highlight w:val="auto"/>
              </w:rPr>
            </w:pPr>
            <w:r>
              <w:rPr>
                <w:rFonts w:ascii="楷体_GB2312" w:eastAsia="楷体_GB2312" w:hint="eastAsia"/>
                <w:color w:val="auto"/>
                <w:sz w:val="24"/>
                <w:highlight w:val="auto"/>
              </w:rPr>
              <w:t>可增加</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r>
      <w:tr>
        <w:trPr>
          <w:trHeight w:val="938"/>
        </w:trPr>
        <w:tc>
          <w:tcPr>
            <w:tcW w:w="2147"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合 同 总 价</w:t>
            </w:r>
          </w:p>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（人民币，含税）</w:t>
            </w:r>
          </w:p>
        </w:tc>
        <w:tc>
          <w:tcPr>
            <w:tcW w:w="6308" w:type="dxa"/>
            <w:gridSpan w:val="5"/>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w:t>
            </w:r>
            <w:r>
              <w:rPr>
                <w:rFonts w:ascii="楷体_GB2312" w:eastAsia="楷体_GB2312"/>
                <w:color w:val="auto"/>
                <w:sz w:val="24"/>
                <w:u w:val="single"/>
                <w:highlight w:val="auto"/>
              </w:rPr>
              <w:t xml:space="preserve">                         </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（人民币：</w:t>
            </w:r>
            <w:r>
              <w:rPr>
                <w:rFonts w:ascii="楷体_GB2312" w:eastAsia="楷体_GB2312"/>
                <w:color w:val="auto"/>
                <w:sz w:val="24"/>
                <w:highlight w:val="auto"/>
              </w:rPr>
              <w:t xml:space="preserve">                       </w:t>
            </w:r>
            <w:r>
              <w:rPr>
                <w:rFonts w:ascii="楷体_GB2312" w:eastAsia="楷体_GB2312" w:hint="eastAsia"/>
                <w:color w:val="auto"/>
                <w:sz w:val="24"/>
                <w:highlight w:val="auto"/>
              </w:rPr>
              <w:t>）</w:t>
            </w:r>
          </w:p>
        </w:tc>
      </w:tr>
    </w:tbl>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注：1.以上合同</w:t>
      </w:r>
      <w:r>
        <w:rPr>
          <w:rFonts w:ascii="楷体_GB2312" w:eastAsia="楷体_GB2312" w:cs="Times New Roman" w:hint="eastAsia"/>
          <w:color w:val="auto"/>
          <w:sz w:val="24"/>
          <w:highlight w:val="auto"/>
        </w:rPr>
        <w:t>总价包括产品的</w:t>
      </w:r>
      <w:r>
        <w:rPr>
          <w:rFonts w:ascii="楷体_GB2312" w:eastAsia="楷体_GB2312" w:cs="Times New Roman" w:hint="eastAsia"/>
          <w:color w:val="auto"/>
          <w:sz w:val="24"/>
          <w:lang w:eastAsia="zh-CN"/>
          <w:highlight w:val="auto"/>
        </w:rPr>
        <w:t>制造、材料费（主材及辅材）、运输、安装、验收、检测、保修（保修期内的售后服务）、税收、所有手续费等直至验收合格交付采购人使用的所有相关费用</w:t>
      </w:r>
      <w:r>
        <w:rPr>
          <w:rFonts w:ascii="楷体_GB2312" w:eastAsia="楷体_GB2312" w:cs="Times New Roman" w:hint="eastAsia"/>
          <w:color w:val="auto"/>
          <w:sz w:val="24"/>
          <w:highlight w:val="auto"/>
        </w:rPr>
        <w:t xml:space="preserve">。 </w:t>
      </w:r>
    </w:p>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2.可根据采购时的约定修改币种名称和（或）是否含税。</w:t>
      </w:r>
    </w:p>
    <w:p>
      <w:pPr>
        <w:pStyle w:val="21"/>
        <w:spacing w:line="360" w:lineRule="auto"/>
        <w:rPr>
          <w:color w:val="auto"/>
          <w:highlight w:val="auto"/>
        </w:rPr>
      </w:pPr>
    </w:p>
    <w:p>
      <w:pPr>
        <w:spacing w:line="360" w:lineRule="auto"/>
        <w:rPr>
          <w:color w:val="auto"/>
          <w:highlight w:val="auto"/>
        </w:rPr>
      </w:pPr>
    </w:p>
    <w:p>
      <w:pPr>
        <w:autoSpaceDE w:val="0"/>
        <w:autoSpaceDN w:val="0"/>
        <w:adjustRightInd w:val="0"/>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第三条 质量保证</w:t>
      </w:r>
    </w:p>
    <w:p>
      <w:pPr>
        <w:spacing w:line="360" w:lineRule="auto"/>
        <w:ind w:firstLineChars="200" w:firstLine="480"/>
        <w:rPr>
          <w:rFonts w:ascii="楷体_GB2312" w:eastAsia="楷体_GB2312"/>
          <w:bCs/>
          <w:color w:val="auto"/>
          <w:sz w:val="24"/>
          <w:highlight w:val="auto"/>
        </w:rPr>
      </w:pPr>
      <w:bookmarkStart w:id="61" w:name="_Hlk103687979"/>
      <w:r>
        <w:rPr>
          <w:rFonts w:ascii="楷体_GB2312" w:eastAsia="楷体_GB2312" w:hint="eastAsia"/>
          <w:bCs/>
          <w:color w:val="auto"/>
          <w:sz w:val="24"/>
          <w:highlight w:val="auto"/>
        </w:rPr>
        <w:t>1.质量功能标准需符合厂方提供的技术资料中所规定的质量标准和双方商定的技术指标。</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2.供方保证本合同中所供应的国产商品是合同签订后或至多签订前半年内生产的，符合国家法律规定和技术规格、质量标准的出厂原装合格产品</w:t>
      </w:r>
      <w:r>
        <w:rPr>
          <w:rFonts w:ascii="楷体_GB2312" w:eastAsia="楷体_GB2312" w:hint="eastAsia"/>
          <w:bCs/>
          <w:color w:val="auto"/>
          <w:sz w:val="24"/>
          <w:lang w:eastAsia="zh-CN"/>
          <w:highlight w:val="auto"/>
        </w:rPr>
        <w:t>。</w:t>
      </w:r>
      <w:r>
        <w:rPr>
          <w:rFonts w:ascii="楷体_GB2312" w:eastAsia="楷体_GB2312" w:hint="eastAsia"/>
          <w:bCs/>
          <w:color w:val="auto"/>
          <w:sz w:val="24"/>
          <w:highlight w:val="auto"/>
        </w:rPr>
        <w:t>如发生所供商品与合同（型号、指标、性能等）不符，需方有权拒收或退货，由此产生的一切责任和后果由供方承担。</w:t>
      </w:r>
      <w:bookmarkEnd w:id="61"/>
    </w:p>
    <w:p>
      <w:pPr>
        <w:spacing w:line="360" w:lineRule="auto"/>
        <w:rPr>
          <w:rFonts w:ascii="楷体_GB2312" w:eastAsia="楷体_GB2312"/>
          <w:b/>
          <w:color w:val="auto"/>
          <w:sz w:val="24"/>
          <w:highlight w:val="auto"/>
        </w:rPr>
      </w:pPr>
      <w:r>
        <w:rPr>
          <w:rFonts w:ascii="楷体_GB2312" w:eastAsia="楷体_GB2312" w:hint="eastAsia"/>
          <w:b/>
          <w:color w:val="auto"/>
          <w:sz w:val="24"/>
          <w:lang w:val="zh-CN"/>
          <w:highlight w:val="auto"/>
        </w:rPr>
        <w:t>第四条 技术性能指标</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lang w:val="zh-CN"/>
          <w:highlight w:val="auto"/>
        </w:rPr>
        <w:t>具体指标</w:t>
      </w:r>
      <w:r>
        <w:rPr>
          <w:rFonts w:ascii="楷体_GB2312" w:eastAsia="楷体_GB2312" w:hint="eastAsia"/>
          <w:color w:val="auto"/>
          <w:sz w:val="24"/>
          <w:highlight w:val="auto"/>
        </w:rPr>
        <w:t>详见第一条所述之相关文件。</w:t>
      </w:r>
    </w:p>
    <w:p>
      <w:pPr>
        <w:autoSpaceDE w:val="0"/>
        <w:autoSpaceDN w:val="0"/>
        <w:adjustRightInd w:val="0"/>
        <w:spacing w:line="360" w:lineRule="auto"/>
        <w:rPr>
          <w:rFonts w:ascii="楷体_GB2312" w:eastAsia="楷体_GB2312"/>
          <w:b/>
          <w:color w:val="auto"/>
          <w:sz w:val="24"/>
          <w:lang w:val="zh-CN"/>
          <w:highlight w:val="auto"/>
        </w:rPr>
      </w:pPr>
      <w:r>
        <w:rPr>
          <w:rFonts w:ascii="楷体_GB2312" w:eastAsia="楷体_GB2312" w:hint="eastAsia"/>
          <w:b/>
          <w:color w:val="auto"/>
          <w:sz w:val="24"/>
          <w:lang w:val="zh-CN"/>
          <w:highlight w:val="auto"/>
        </w:rPr>
        <w:t>第五条 交货时间、地点</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最晚不迟于（</w:t>
      </w:r>
      <w:r>
        <w:rPr>
          <w:rFonts w:hint="eastAsia"/>
          <w:bCs/>
          <w:color w:val="auto"/>
          <w:szCs w:val="21"/>
          <w:highlight w:val="auto"/>
        </w:rPr>
        <w:sym w:font="Wingdings" w:char="A8"/>
      </w:r>
      <w:r>
        <w:rPr>
          <w:rFonts w:hint="eastAsia"/>
          <w:bCs/>
          <w:color w:val="auto"/>
          <w:szCs w:val="21"/>
          <w:highlight w:val="auto"/>
        </w:rPr>
        <w:t>合同签订</w:t>
      </w:r>
      <w:r>
        <w:rPr>
          <w:rFonts w:hint="eastAsia"/>
          <w:bCs/>
          <w:color w:val="auto"/>
          <w:szCs w:val="21"/>
          <w:highlight w:val="auto"/>
        </w:rPr>
        <w:sym w:font="Wingdings" w:char="A8"/>
      </w:r>
      <w:r>
        <w:rPr>
          <w:rFonts w:hint="eastAsia"/>
          <w:bCs/>
          <w:color w:val="auto"/>
          <w:szCs w:val="21"/>
          <w:highlight w:val="auto"/>
        </w:rPr>
        <w:t>取得免表</w:t>
      </w:r>
      <w:r>
        <w:rPr>
          <w:rFonts w:hint="eastAsia"/>
          <w:bCs/>
          <w:color w:val="auto"/>
          <w:szCs w:val="21"/>
          <w:highlight w:val="auto"/>
        </w:rPr>
        <w:sym w:font="Wingdings" w:char="A8"/>
      </w:r>
      <w:r>
        <w:rPr>
          <w:rFonts w:hint="eastAsia"/>
          <w:bCs/>
          <w:color w:val="auto"/>
          <w:szCs w:val="21"/>
          <w:highlight w:val="auto"/>
        </w:rPr>
        <w:t>收到信用证</w:t>
      </w:r>
      <w:r>
        <w:rPr>
          <w:rFonts w:ascii="楷体_GB2312" w:eastAsia="楷体_GB2312" w:hint="eastAsia"/>
          <w:color w:val="auto"/>
          <w:sz w:val="24"/>
          <w:lang w:val="zh-CN"/>
          <w:highlight w:val="auto"/>
        </w:rPr>
        <w:t xml:space="preserve">）后 </w:t>
      </w:r>
      <w:r>
        <w:rPr>
          <w:rFonts w:ascii="楷体_GB2312" w:eastAsia="楷体_GB2312" w:hint="eastAsia"/>
          <w:color w:val="auto"/>
          <w:sz w:val="24"/>
          <w:u w:val="single"/>
          <w:lang w:val="zh-CN"/>
          <w:highlight w:val="auto"/>
        </w:rPr>
        <w:t xml:space="preserve">       </w:t>
      </w:r>
      <w:r>
        <w:rPr>
          <w:rFonts w:ascii="楷体_GB2312" w:eastAsia="楷体_GB2312" w:hint="eastAsia"/>
          <w:color w:val="auto"/>
          <w:sz w:val="24"/>
          <w:highlight w:val="auto"/>
        </w:rPr>
        <w:t>日历天</w:t>
      </w:r>
      <w:r>
        <w:rPr>
          <w:rFonts w:ascii="楷体_GB2312" w:eastAsia="楷体_GB2312" w:hint="eastAsia"/>
          <w:color w:val="auto"/>
          <w:sz w:val="24"/>
          <w:lang w:val="zh-CN"/>
          <w:highlight w:val="auto"/>
        </w:rPr>
        <w:t>。</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货物交付地点（送货前再确认，可经双方同意后变更至校内其他地址）：</w:t>
      </w:r>
    </w:p>
    <w:p>
      <w:pPr>
        <w:autoSpaceDE w:val="0"/>
        <w:autoSpaceDN w:val="0"/>
        <w:adjustRightInd w:val="0"/>
        <w:spacing w:line="360" w:lineRule="auto"/>
        <w:ind w:firstLineChars="200" w:firstLine="420"/>
        <w:rPr>
          <w:rFonts w:ascii="楷体_GB2312" w:eastAsia="楷体_GB2312"/>
          <w:color w:val="auto"/>
          <w:sz w:val="24"/>
          <w:lang w:val="zh-CN"/>
          <w:highlight w:val="auto"/>
        </w:rPr>
      </w:pPr>
      <w:r>
        <w:rPr>
          <w:rFonts w:hint="eastAsia"/>
          <w:bCs/>
          <w:color w:val="auto"/>
          <w:szCs w:val="21"/>
          <w:highlight w:val="auto"/>
        </w:rPr>
        <w:sym w:font="Wingdings" w:char="A8"/>
      </w:r>
      <w:r>
        <w:rPr>
          <w:rFonts w:ascii="楷体_GB2312" w:eastAsia="楷体_GB2312" w:hint="eastAsia"/>
          <w:color w:val="auto"/>
          <w:sz w:val="24"/>
          <w:highlight w:val="auto"/>
        </w:rPr>
        <w:t xml:space="preserve"> 地址：</w:t>
      </w:r>
    </w:p>
    <w:p>
      <w:pPr>
        <w:autoSpaceDE w:val="0"/>
        <w:autoSpaceDN w:val="0"/>
        <w:adjustRightInd w:val="0"/>
        <w:spacing w:line="360" w:lineRule="auto"/>
        <w:ind w:firstLineChars="200" w:firstLine="480"/>
        <w:jc w:val="center"/>
        <w:rPr>
          <w:rFonts w:ascii="楷体_GB2312" w:eastAsia="楷体_GB2312"/>
          <w:color w:val="auto"/>
          <w:sz w:val="24"/>
          <w:highlight w:val="auto"/>
        </w:rPr>
      </w:pPr>
      <w:r>
        <w:rPr>
          <w:rFonts w:ascii="楷体_GB2312" w:eastAsia="楷体_GB2312" w:hint="eastAsia"/>
          <w:color w:val="auto"/>
          <w:sz w:val="24"/>
          <w:highlight w:val="auto"/>
        </w:rPr>
        <w:t>请填写详细地址</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1.供方在合同签订后，按照其与使用单位事先直接联系约定，将所供商品安全运至指定地点，并负责安装调试。</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2.在所供商品交付使用时，供方必须向使用方提供产品说明书、质量保证书、保修卡等必须具备的相关资料和必备的附件，</w:t>
      </w:r>
      <w:r>
        <w:rPr>
          <w:rFonts w:ascii="楷体_GB2312" w:eastAsia="楷体_GB2312" w:hint="eastAsia"/>
          <w:color w:val="auto"/>
          <w:sz w:val="24"/>
          <w:highlight w:val="auto"/>
        </w:rPr>
        <w:t>并对使用单位人员进行培训</w:t>
      </w:r>
      <w:r>
        <w:rPr>
          <w:rFonts w:ascii="楷体_GB2312" w:eastAsia="楷体_GB2312" w:hint="eastAsia"/>
          <w:color w:val="auto"/>
          <w:sz w:val="24"/>
          <w:lang w:val="zh-CN"/>
          <w:highlight w:val="auto"/>
        </w:rPr>
        <w:t>。</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第六条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验收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1</w:t>
      </w:r>
      <w:r>
        <w:rPr>
          <w:rFonts w:ascii="楷体_GB2312" w:eastAsia="楷体_GB2312"/>
          <w:bCs/>
          <w:color w:val="auto"/>
          <w:sz w:val="24"/>
          <w:highlight w:val="auto"/>
        </w:rPr>
        <w:t>.</w:t>
      </w:r>
      <w:r>
        <w:rPr>
          <w:rFonts w:ascii="楷体_GB2312" w:eastAsia="楷体_GB2312" w:hint="eastAsia"/>
          <w:bCs/>
          <w:color w:val="auto"/>
          <w:sz w:val="24"/>
          <w:highlight w:val="auto"/>
        </w:rPr>
        <w:t xml:space="preserve">供方将所供商品运至交货地点并安装调试完毕后，由需方负责在 30 </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内按验收标准进行验收。如发现质量问题，双方另行约定再次验收条件及时间。因此导致逾期的，供方按照第九条第2款约定承担逾期违约责任，双方另有约定的除外。</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w:t>
      </w:r>
      <w:r>
        <w:rPr>
          <w:rFonts w:ascii="楷体_GB2312" w:eastAsia="楷体_GB2312"/>
          <w:bCs/>
          <w:color w:val="auto"/>
          <w:sz w:val="24"/>
          <w:highlight w:val="auto"/>
        </w:rPr>
        <w:t>.</w:t>
      </w:r>
      <w:r>
        <w:rPr>
          <w:rFonts w:ascii="楷体_GB2312" w:eastAsia="楷体_GB2312" w:hint="eastAsia"/>
          <w:bCs/>
          <w:color w:val="auto"/>
          <w:sz w:val="24"/>
          <w:highlight w:val="auto"/>
        </w:rPr>
        <w:t>验收标准</w:t>
      </w:r>
      <w:r>
        <w:rPr>
          <w:rFonts w:ascii="楷体_GB2312" w:eastAsia="楷体_GB2312" w:hint="eastAsia"/>
          <w:color w:val="auto"/>
          <w:sz w:val="24"/>
          <w:highlight w:val="auto"/>
        </w:rPr>
        <w:t>详见第一条所述之相关文件。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3</w:t>
      </w:r>
      <w:r>
        <w:rPr>
          <w:rFonts w:ascii="楷体_GB2312" w:eastAsia="楷体_GB2312"/>
          <w:bCs/>
          <w:color w:val="auto"/>
          <w:sz w:val="24"/>
          <w:highlight w:val="auto"/>
        </w:rPr>
        <w:t>.</w:t>
      </w:r>
      <w:r>
        <w:rPr>
          <w:rFonts w:ascii="楷体_GB2312" w:eastAsia="楷体_GB2312" w:hint="eastAsia"/>
          <w:bCs/>
          <w:color w:val="auto"/>
          <w:sz w:val="24"/>
          <w:highlight w:val="auto"/>
        </w:rPr>
        <w:t>货物经需方验收合格后，货物所有权及货物毁损灭失的风险始转</w:t>
      </w:r>
      <w:r>
        <w:rPr>
          <w:rFonts w:ascii="楷体_GB2312" w:eastAsia="楷体_GB2312"/>
          <w:bCs/>
          <w:color w:val="auto"/>
          <w:sz w:val="24"/>
          <w:highlight w:val="auto"/>
        </w:rPr>
        <w:t>移给</w:t>
      </w:r>
      <w:r>
        <w:rPr>
          <w:rFonts w:ascii="楷体_GB2312" w:eastAsia="楷体_GB2312" w:hint="eastAsia"/>
          <w:bCs/>
          <w:color w:val="auto"/>
          <w:sz w:val="24"/>
          <w:highlight w:val="auto"/>
        </w:rPr>
        <w:t>需方。</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4.如货物确实</w:t>
      </w:r>
      <w:r>
        <w:rPr>
          <w:rFonts w:ascii="楷体_GB2312" w:eastAsia="楷体_GB2312"/>
          <w:bCs/>
          <w:color w:val="auto"/>
          <w:sz w:val="24"/>
          <w:highlight w:val="auto"/>
        </w:rPr>
        <w:t>内在</w:t>
      </w:r>
      <w:r>
        <w:rPr>
          <w:rFonts w:ascii="楷体_GB2312" w:eastAsia="楷体_GB2312" w:hint="eastAsia"/>
          <w:bCs/>
          <w:color w:val="auto"/>
          <w:sz w:val="24"/>
          <w:highlight w:val="auto"/>
        </w:rPr>
        <w:t>存在</w:t>
      </w:r>
      <w:r>
        <w:rPr>
          <w:rFonts w:ascii="楷体_GB2312" w:eastAsia="楷体_GB2312"/>
          <w:bCs/>
          <w:color w:val="auto"/>
          <w:sz w:val="24"/>
          <w:highlight w:val="auto"/>
        </w:rPr>
        <w:t>质量</w:t>
      </w:r>
      <w:r>
        <w:rPr>
          <w:rFonts w:ascii="楷体_GB2312" w:eastAsia="楷体_GB2312" w:hint="eastAsia"/>
          <w:bCs/>
          <w:color w:val="auto"/>
          <w:sz w:val="24"/>
          <w:highlight w:val="auto"/>
        </w:rPr>
        <w:t>瑕疵，即使通过了本条第1款的验收，需方仍有权在</w:t>
      </w:r>
      <w:r>
        <w:rPr>
          <w:rFonts w:ascii="楷体_GB2312" w:eastAsia="楷体_GB2312"/>
          <w:bCs/>
          <w:color w:val="auto"/>
          <w:sz w:val="24"/>
          <w:highlight w:val="auto"/>
        </w:rPr>
        <w:t>任何时间包括质保期</w:t>
      </w:r>
      <w:r>
        <w:rPr>
          <w:rFonts w:ascii="楷体_GB2312" w:eastAsia="楷体_GB2312" w:hint="eastAsia"/>
          <w:bCs/>
          <w:color w:val="auto"/>
          <w:sz w:val="24"/>
          <w:highlight w:val="auto"/>
        </w:rPr>
        <w:t>内或质保期满</w:t>
      </w:r>
      <w:r>
        <w:rPr>
          <w:rFonts w:ascii="楷体_GB2312" w:eastAsia="楷体_GB2312"/>
          <w:bCs/>
          <w:color w:val="auto"/>
          <w:sz w:val="24"/>
          <w:highlight w:val="auto"/>
        </w:rPr>
        <w:t>后</w:t>
      </w:r>
      <w:r>
        <w:rPr>
          <w:rFonts w:ascii="楷体_GB2312" w:eastAsia="楷体_GB2312" w:hint="eastAsia"/>
          <w:bCs/>
          <w:color w:val="auto"/>
          <w:sz w:val="24"/>
          <w:highlight w:val="auto"/>
        </w:rPr>
        <w:t>使用寿命期内提出异议，不受30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验收时间的限制，如果查明确实属于内在质量存在问题，供方仍应对此负责。</w:t>
      </w:r>
    </w:p>
    <w:p>
      <w:pPr>
        <w:spacing w:line="360" w:lineRule="auto"/>
        <w:rPr>
          <w:rFonts w:ascii="楷体_GB2312" w:eastAsia="楷体_GB2312"/>
          <w:bCs/>
          <w:color w:val="auto"/>
          <w:sz w:val="24"/>
          <w:highlight w:val="auto"/>
        </w:rPr>
      </w:pPr>
      <w:r>
        <w:rPr>
          <w:rFonts w:ascii="楷体_GB2312" w:eastAsia="楷体_GB2312" w:hint="eastAsia"/>
          <w:b/>
          <w:bCs/>
          <w:color w:val="auto"/>
          <w:sz w:val="24"/>
          <w:highlight w:val="auto"/>
        </w:rPr>
        <w:t>第七条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保证金及货款</w:t>
      </w:r>
      <w:r>
        <w:rPr>
          <w:rFonts w:ascii="楷体_GB2312" w:eastAsia="楷体_GB2312" w:hint="eastAsia"/>
          <w:color w:val="auto"/>
          <w:sz w:val="24"/>
          <w:highlight w:val="auto"/>
        </w:rPr>
        <w:t>（按照采购文件中确认的付款条款填写）</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1.供方应在合同签订时向采购方缴纳履约保证金。本合同履约保证金为合同总价的</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%（确定采购文件时，可选10%及以下）。</w:t>
      </w:r>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2" w:name="_Toc26301"/>
      <w:r>
        <w:rPr>
          <w:rFonts w:ascii="楷体_GB2312" w:eastAsia="楷体_GB2312" w:hint="eastAsia"/>
          <w:color w:val="auto"/>
          <w:kern w:val="2"/>
          <w:sz w:val="24"/>
          <w:szCs w:val="24"/>
          <w:highlight w:val="auto"/>
        </w:rPr>
        <w:t>2.需方向供方的付款计划安排如下（确定采购文件时，可修改）：</w:t>
      </w:r>
      <w:bookmarkEnd w:id="62"/>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第一期款：</w:t>
      </w:r>
      <w:r>
        <w:rPr>
          <w:rFonts w:ascii="楷体_GB2312" w:eastAsia="楷体_GB2312" w:hint="eastAsia"/>
          <w:color w:val="auto"/>
          <w:sz w:val="24"/>
          <w:u w:val="single"/>
          <w:highlight w:val="auto"/>
        </w:rPr>
        <w:t>合同生效、具备实施条件且财政资金下达</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第N期款：</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pStyle w:val="21"/>
        <w:spacing w:line="360" w:lineRule="auto"/>
        <w:ind w:firstLine="420"/>
        <w:rPr>
          <w:rFonts w:ascii="楷体_GB2312" w:eastAsia="楷体_GB2312" w:cs="楷体_GB2312"/>
          <w:color w:val="auto"/>
          <w:sz w:val="24"/>
          <w:highlight w:val="auto"/>
        </w:rPr>
      </w:pPr>
      <w:r>
        <w:rPr>
          <w:rFonts w:ascii="楷体_GB2312" w:eastAsia="楷体_GB2312" w:cs="楷体_GB2312"/>
          <w:color w:val="auto"/>
          <w:sz w:val="24"/>
          <w:highlight w:val="auto"/>
        </w:rPr>
        <w:t>特殊支付方式：</w:t>
      </w:r>
      <w:r>
        <w:rPr>
          <w:rFonts w:ascii="楷体_GB2312" w:eastAsia="楷体_GB2312" w:hint="eastAsia"/>
          <w:color w:val="auto"/>
          <w:sz w:val="24"/>
          <w:u w:val="single"/>
          <w:highlight w:val="auto"/>
        </w:rPr>
        <w:t xml:space="preserve">                              </w:t>
      </w:r>
    </w:p>
    <w:p>
      <w:pPr>
        <w:pStyle w:val="15"/>
        <w:spacing w:line="360" w:lineRule="auto"/>
        <w:ind w:firstLine="480"/>
        <w:rPr>
          <w:color w:val="auto"/>
          <w:sz w:val="24"/>
          <w:highlight w:val="auto"/>
        </w:rPr>
      </w:pPr>
      <w:r>
        <w:rPr>
          <w:rFonts w:hint="eastAsia"/>
          <w:color w:val="auto"/>
          <w:sz w:val="24"/>
          <w:highlight w:val="auto"/>
        </w:rPr>
        <w:t>货物：合同项内所有货物</w:t>
      </w:r>
    </w:p>
    <w:p>
      <w:pPr>
        <w:pStyle w:val="15"/>
        <w:spacing w:line="360" w:lineRule="auto"/>
        <w:ind w:firstLine="480"/>
        <w:rPr>
          <w:color w:val="auto"/>
          <w:sz w:val="24"/>
          <w:highlight w:val="auto"/>
        </w:rPr>
      </w:pPr>
      <w:r>
        <w:rPr>
          <w:rFonts w:hint="eastAsia"/>
          <w:color w:val="auto"/>
          <w:sz w:val="24"/>
          <w:highlight w:val="auto"/>
        </w:rPr>
        <w:t>货物原产地和制造商：</w:t>
      </w:r>
    </w:p>
    <w:p>
      <w:pPr>
        <w:pStyle w:val="15"/>
        <w:spacing w:line="360" w:lineRule="auto"/>
        <w:ind w:firstLine="480"/>
        <w:rPr>
          <w:color w:val="auto"/>
          <w:sz w:val="24"/>
          <w:highlight w:val="auto"/>
        </w:rPr>
      </w:pPr>
      <w:r>
        <w:rPr>
          <w:rFonts w:hint="eastAsia"/>
          <w:color w:val="auto"/>
          <w:sz w:val="24"/>
          <w:highlight w:val="auto"/>
        </w:rPr>
        <w:t>运输方式、装运港和目的港：</w:t>
      </w:r>
    </w:p>
    <w:p>
      <w:pPr>
        <w:pStyle w:val="15"/>
        <w:spacing w:line="360" w:lineRule="auto"/>
        <w:ind w:firstLine="480"/>
        <w:rPr>
          <w:color w:val="auto"/>
          <w:sz w:val="24"/>
          <w:highlight w:val="auto"/>
        </w:rPr>
      </w:pPr>
      <w:r>
        <w:rPr>
          <w:rFonts w:hint="eastAsia"/>
          <w:color w:val="auto"/>
          <w:sz w:val="24"/>
          <w:highlight w:val="auto"/>
        </w:rPr>
        <w:t>境外公司名称：</w:t>
      </w:r>
    </w:p>
    <w:p>
      <w:pPr>
        <w:pStyle w:val="15"/>
        <w:spacing w:line="360" w:lineRule="auto"/>
        <w:ind w:firstLine="480"/>
        <w:rPr>
          <w:color w:val="auto"/>
          <w:sz w:val="24"/>
          <w:highlight w:val="auto"/>
        </w:rPr>
      </w:pPr>
      <w:r>
        <w:rPr>
          <w:rFonts w:hint="eastAsia"/>
          <w:color w:val="auto"/>
          <w:sz w:val="24"/>
          <w:highlight w:val="auto"/>
        </w:rPr>
        <w:t>联系人姓名:</w:t>
      </w:r>
    </w:p>
    <w:p>
      <w:pPr>
        <w:pStyle w:val="15"/>
        <w:spacing w:line="360" w:lineRule="auto"/>
        <w:ind w:firstLine="480"/>
        <w:rPr>
          <w:color w:val="auto"/>
          <w:sz w:val="24"/>
          <w:highlight w:val="auto"/>
        </w:rPr>
      </w:pPr>
      <w:r>
        <w:rPr>
          <w:rFonts w:hint="eastAsia"/>
          <w:color w:val="auto"/>
          <w:sz w:val="24"/>
          <w:highlight w:val="auto"/>
        </w:rPr>
        <w:t>联系人电话:</w:t>
      </w:r>
    </w:p>
    <w:p>
      <w:pPr>
        <w:pStyle w:val="15"/>
        <w:spacing w:line="360" w:lineRule="auto"/>
        <w:ind w:firstLine="480"/>
        <w:rPr>
          <w:color w:val="auto"/>
          <w:sz w:val="24"/>
          <w:highlight w:val="auto"/>
        </w:rPr>
      </w:pPr>
      <w:r>
        <w:rPr>
          <w:rFonts w:hint="eastAsia"/>
          <w:color w:val="auto"/>
          <w:sz w:val="24"/>
          <w:highlight w:val="auto"/>
        </w:rPr>
        <w:t>联系人Email:</w:t>
      </w:r>
    </w:p>
    <w:p>
      <w:pPr>
        <w:pStyle w:val="3"/>
        <w:numPr>
          <w:ilvl w:val="0"/>
          <w:numId w:val="0"/>
        </w:numPr>
        <w:tabs>
          <w:tab w:val="clear" w:pos="709"/>
        </w:tabs>
        <w:spacing w:line="360" w:lineRule="auto"/>
        <w:ind w:leftChars="50" w:left="105" w:firstLineChars="150" w:firstLine="360"/>
        <w:rPr>
          <w:rFonts w:ascii="楷体_GB2312" w:eastAsia="楷体_GB2312"/>
          <w:color w:val="auto"/>
          <w:sz w:val="24"/>
          <w:highlight w:val="auto"/>
        </w:rPr>
      </w:pPr>
      <w:bookmarkStart w:id="63" w:name="_Toc2806"/>
      <w:r>
        <w:rPr>
          <w:rFonts w:ascii="楷体_GB2312" w:eastAsia="楷体_GB2312" w:hint="eastAsia"/>
          <w:color w:val="auto"/>
          <w:kern w:val="2"/>
          <w:sz w:val="24"/>
          <w:szCs w:val="24"/>
          <w:highlight w:val="auto"/>
        </w:rPr>
        <w:t>需方付款的方式按嘉兴海关综合技术服务中心与供方签订的代理协议</w:t>
      </w:r>
      <w:r>
        <w:rPr>
          <w:rFonts w:ascii="楷体_GB2312" w:eastAsia="楷体_GB2312"/>
          <w:color w:val="auto"/>
          <w:kern w:val="2"/>
          <w:sz w:val="24"/>
          <w:szCs w:val="24"/>
          <w:highlight w:val="auto"/>
        </w:rPr>
        <w:t>执行</w:t>
      </w:r>
      <w:r>
        <w:rPr>
          <w:rFonts w:ascii="楷体_GB2312" w:eastAsia="楷体_GB2312" w:hint="eastAsia"/>
          <w:color w:val="auto"/>
          <w:kern w:val="2"/>
          <w:sz w:val="24"/>
          <w:szCs w:val="24"/>
          <w:highlight w:val="auto"/>
        </w:rPr>
        <w:t>。</w:t>
      </w:r>
      <w:bookmarkEnd w:id="63"/>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4" w:name="_Toc345"/>
      <w:r>
        <w:rPr>
          <w:rFonts w:ascii="楷体_GB2312" w:eastAsia="楷体_GB2312" w:hint="eastAsia"/>
          <w:bCs/>
          <w:color w:val="auto"/>
          <w:sz w:val="24"/>
          <w:highlight w:val="auto"/>
        </w:rPr>
        <w:t>4.</w:t>
      </w:r>
      <w:r>
        <w:rPr>
          <w:rFonts w:ascii="楷体_GB2312" w:eastAsia="楷体_GB2312" w:hint="eastAsia"/>
          <w:color w:val="auto"/>
          <w:kern w:val="2"/>
          <w:sz w:val="24"/>
          <w:szCs w:val="24"/>
          <w:highlight w:val="auto"/>
        </w:rPr>
        <w:t>供方须提供增值税专用发票、验收合格报告和原产地证明等材料。因供方未按约及时提供相关材料导致需方迟延付款的，不视为需方逾期付款，供方不得因此向需方主张承担逾期付款违约责任。</w:t>
      </w:r>
      <w:bookmarkEnd w:id="64"/>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5.履约保证金（如有）在货物验收合格后在无质量及服务问题的情况下由供方发起办理无息退还的手续。</w:t>
      </w:r>
    </w:p>
    <w:p>
      <w:pPr>
        <w:tabs>
          <w:tab w:val="left" w:pos="360"/>
        </w:tabs>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第八条 质保期及售后服务承诺</w:t>
      </w:r>
    </w:p>
    <w:p>
      <w:pPr>
        <w:pStyle w:val="21"/>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详见第一条所述之相关文件。</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第九条 违约处理</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1.如供方提供的货物全部或部分验收不合格，需方有权解除本合同，供方应在接到需方的通知后10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内将不合格的货物撤出现场，并向需方支付不合格货物总价的20％作为违约金。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2.供方逾期供货，自逾期之日起，每天应向需方支付合同总价万分之五的违约金。如逾期超过30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，需方有权解除本合同，供方还应向需方支付合同总价百分之五的违约金。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3.需方逾期付款，自逾期之日起，每天应向供方支付欠付总价万分之五的违约金。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4.供方保证其交付的全部货物不会侵犯任何第三方的著作权、商标权、专利权等其他合法权利，否则，供方应承担全部法律责任。如需方因此遭受任何第三方的追索、索赔或诉讼的，则因此加诸于需方的一切责任及全部债务均由供方承担并清偿，供方并愿意赔偿需方因此受到的全部损失。</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5.供方或供方人员违反本合同约定的任何义务的，应承担需方因实现权利所支付的所有费用，包括但不限于调查取证费、鉴定费、公证费、评估费、担保费、律师费、仲裁费/诉讼费、公告费、保全费、执行费、律师代理费、差旅费等。</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6.供方存在违约情形的，需方有权从应付给供方的款项或供方交纳的保证金中直接扣除违约金、赔偿金等供方应付需方的全部费用。如保证金被扣减的，供方应在收到需方通知补足之日起3日内补足。</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第十条 其他约定事项</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1.需方负责</w:t>
      </w:r>
      <w:r>
        <w:rPr>
          <w:rFonts w:ascii="楷体_GB2312" w:eastAsia="楷体_GB2312"/>
          <w:color w:val="auto"/>
          <w:sz w:val="24"/>
          <w:highlight w:val="auto"/>
        </w:rPr>
        <w:t>按本合同第一条所述相应文本中的约定</w:t>
      </w:r>
      <w:r>
        <w:rPr>
          <w:rFonts w:ascii="楷体_GB2312" w:eastAsia="楷体_GB2312" w:hint="eastAsia"/>
          <w:color w:val="auto"/>
          <w:sz w:val="24"/>
          <w:highlight w:val="auto"/>
        </w:rPr>
        <w:t>提供货物的存放和现场施工条件（电、水、工作时间及工具和材料的存放房间）。</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2.供方应指定专人负责与需方的联络和安装现场协调事宜。</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color w:val="auto"/>
          <w:sz w:val="24"/>
          <w:highlight w:val="auto"/>
        </w:rPr>
        <w:t>3.</w:t>
      </w:r>
      <w:r>
        <w:rPr>
          <w:rFonts w:ascii="楷体_GB2312" w:eastAsia="楷体_GB2312" w:hint="eastAsia"/>
          <w:color w:val="auto"/>
          <w:sz w:val="24"/>
          <w:highlight w:val="auto"/>
        </w:rPr>
        <w:t xml:space="preserve"> 供方应当对在签订、履行本合同过程中知悉或获得的所有有关需方的信息、文件、资料、数据，以及需方提供的数据等信息（即“保密信息”）予以保密，未经需方书面同意，供方不得将保密信息用于本合同以外的目的，并不得将其泄漏给任何第三方。</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第十一条 争议解决</w:t>
      </w:r>
    </w:p>
    <w:p>
      <w:pPr>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本合同，在发生所供商品的质量、售后服务等问题时，需方有权直接向供方索赔，签订必要的书面处理协议，如协商不成，双方均同意将本合同引起的争议提交杭州仲裁委员会仲裁解决，仲裁为终局。</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w:t>
      </w:r>
      <w:r>
        <w:rPr>
          <w:rFonts w:ascii="楷体_GB2312" w:eastAsia="楷体_GB2312" w:hint="eastAsia"/>
          <w:b/>
          <w:bCs/>
          <w:color w:val="auto"/>
          <w:sz w:val="24"/>
          <w:highlight w:val="auto"/>
        </w:rPr>
        <w:t>二</w:t>
      </w:r>
      <w:r>
        <w:rPr>
          <w:rFonts w:ascii="楷体_GB2312" w:eastAsia="楷体_GB2312" w:hint="eastAsia"/>
          <w:b/>
          <w:color w:val="auto"/>
          <w:sz w:val="24"/>
          <w:highlight w:val="auto"/>
        </w:rPr>
        <w:t>条 合同生效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1.本合同正文及附件共</w:t>
      </w:r>
      <w:r>
        <w:rPr>
          <w:rFonts w:ascii="楷体_GB2312" w:eastAsia="楷体_GB2312" w:hint="eastAsia"/>
          <w:color w:val="auto"/>
          <w:sz w:val="24"/>
          <w:u w:val="single"/>
          <w:highlight w:val="auto"/>
        </w:rPr>
        <w:t xml:space="preserve"> </w:t>
      </w:r>
      <w:r>
        <w:rPr>
          <w:rFonts w:ascii="楷体_GB2312" w:eastAsia="楷体_GB2312"/>
          <w:color w:val="auto"/>
          <w:sz w:val="24"/>
          <w:u w:val="single"/>
          <w:highlight w:val="auto"/>
        </w:rPr>
        <w:t xml:space="preserve">  </w:t>
      </w:r>
      <w:r>
        <w:rPr>
          <w:rFonts w:ascii="楷体_GB2312" w:eastAsia="楷体_GB2312" w:hint="eastAsia"/>
          <w:color w:val="auto"/>
          <w:sz w:val="24"/>
          <w:highlight w:val="auto"/>
        </w:rPr>
        <w:t>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2.本合同经供方、需方、采购方签字盖章后生效。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3.本合同一式四份，供方、需方各执壹份、嘉兴海关综合技术服务中心采购中心执两份，具有同等法律效力。</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第十三条 合同公示</w:t>
      </w:r>
    </w:p>
    <w:p>
      <w:pPr>
        <w:spacing w:line="360" w:lineRule="auto"/>
        <w:ind w:firstLine="420"/>
        <w:rPr>
          <w:rFonts w:ascii="楷体_GB2312" w:eastAsia="楷体_GB2312"/>
          <w:color w:val="auto"/>
          <w:sz w:val="24"/>
          <w:highlight w:val="auto"/>
        </w:rPr>
      </w:pPr>
      <w:r>
        <w:rPr>
          <w:rFonts w:ascii="楷体_GB2312" w:eastAsia="楷体_GB2312" w:hint="eastAsia"/>
          <w:color w:val="auto"/>
          <w:sz w:val="24"/>
          <w:highlight w:val="auto"/>
        </w:rPr>
        <w:t>双方同意，本合同及其附件，将根据要求进行公示。</w:t>
      </w:r>
    </w:p>
    <w:p>
      <w:pPr>
        <w:pStyle w:val="21"/>
        <w:spacing w:line="360" w:lineRule="auto"/>
        <w:jc w:val="center"/>
        <w:rPr>
          <w:rFonts w:eastAsia="楷体_GB2312"/>
          <w:color w:val="auto"/>
          <w:highlight w:val="auto"/>
        </w:rPr>
      </w:pPr>
      <w:r>
        <w:rPr>
          <w:rFonts w:ascii="楷体_GB2312" w:eastAsia="楷体_GB2312" w:hint="eastAsia"/>
          <w:color w:val="auto"/>
          <w:sz w:val="24"/>
          <w:highlight w:val="auto"/>
        </w:rPr>
        <w:t>--以下无正文，转签章页--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br w:type="page"/>
        <w:t>本页无正文，为《货物采购合同》签署页</w:t>
      </w:r>
    </w:p>
    <w:tbl>
      <w:tblPr>
        <w:jc w:val="left"/>
        <w:tblInd w:w="468" w:type="dxa"/>
        <w:tblW w:w="828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75"/>
        <w:gridCol w:w="4105"/>
      </w:tblGrid>
      <w:tr>
        <w:trPr>
          <w:trHeight w:val="632"/>
        </w:trPr>
        <w:tc>
          <w:tcPr>
            <w:tcW w:w="417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采购方：</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（嘉兴海关综合技术服务中心）</w:t>
              <w:tab/>
              <w:tab/>
              <w:tab/>
              <w:tab/>
            </w:r>
          </w:p>
          <w:p>
            <w:pPr>
              <w:spacing w:line="360" w:lineRule="auto"/>
              <w:rPr>
                <w:rFonts w:ascii="楷体_GB2312" w:eastAsia="楷体_GB2312"/>
                <w:color w:val="auto"/>
                <w:sz w:val="24"/>
                <w:highlight w:val="auto"/>
              </w:rPr>
            </w:pP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供方：（公章或合同章）</w:t>
            </w:r>
          </w:p>
          <w:p>
            <w:pPr>
              <w:spacing w:line="360" w:lineRule="auto"/>
              <w:rPr>
                <w:rFonts w:ascii="楷体_GB2312" w:eastAsia="楷体_GB2312"/>
                <w:color w:val="auto"/>
                <w:sz w:val="24"/>
                <w:highlight w:val="auto"/>
              </w:rPr>
            </w:pP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授权代表：</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法定代表人或授权代表：</w:t>
            </w: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r>
      <w:tr>
        <w:tc>
          <w:tcPr>
            <w:tcW w:w="4175" w:type="dxa"/>
          </w:tcPr>
          <w:p>
            <w:pPr>
              <w:spacing w:line="360" w:lineRule="auto"/>
              <w:rPr>
                <w:rFonts w:ascii="楷体_GB2312" w:eastAsia="楷体_GB2312"/>
                <w:color w:val="auto"/>
                <w:sz w:val="24"/>
                <w:highlight w:val="auto"/>
              </w:rPr>
            </w:pPr>
          </w:p>
          <w:p>
            <w:pPr>
              <w:spacing w:line="360" w:lineRule="auto"/>
              <w:rPr>
                <w:color w:val="auto"/>
                <w:highlight w:val="auto"/>
              </w:rPr>
            </w:pPr>
            <w:r>
              <w:rPr>
                <w:rFonts w:ascii="楷体_GB2312" w:eastAsia="楷体_GB2312" w:hint="eastAsia"/>
                <w:color w:val="auto"/>
                <w:sz w:val="24"/>
                <w:highlight w:val="auto"/>
              </w:rPr>
              <w:t>签字日期：    年     月    日</w:t>
            </w: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签字日期：    年     月    日</w:t>
            </w:r>
          </w:p>
        </w:tc>
      </w:tr>
    </w:tbl>
    <w:p>
      <w:pPr>
        <w:pStyle w:val="21"/>
        <w:rPr>
          <w:color w:val="auto"/>
          <w:sz w:val="32"/>
          <w:szCs w:val="32"/>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autoSpaceDE w:val="0"/>
        <w:autoSpaceDN w:val="0"/>
        <w:adjustRightInd w:val="0"/>
        <w:ind w:right="-670"/>
        <w:rPr>
          <w:rFonts w:eastAsia="楷体_GB2312"/>
          <w:color w:val="auto"/>
          <w:sz w:val="28"/>
          <w:szCs w:val="28"/>
          <w:highlight w:val="auto"/>
        </w:rPr>
      </w:pPr>
    </w:p>
    <w:p>
      <w:pPr>
        <w:autoSpaceDE w:val="0"/>
        <w:autoSpaceDN w:val="0"/>
        <w:adjustRightInd w:val="0"/>
        <w:spacing w:line="540" w:lineRule="exact"/>
        <w:rPr>
          <w:rFonts w:eastAsia="楷体_GB2312"/>
          <w:color w:val="auto"/>
          <w:sz w:val="28"/>
          <w:szCs w:val="28"/>
          <w:lang w:val="zh-CN"/>
          <w:highlight w:val="auto"/>
        </w:rPr>
        <w:sectPr>
          <w:headerReference w:type="default" r:id="rId3"/>
          <w:footerReference w:type="default" r:id="rId4"/>
          <w:pgSz w:w="11906" w:h="16838"/>
          <w:pgMar w:top="1230" w:right="1800" w:bottom="1440" w:left="1800" w:header="851" w:footer="992" w:gutter="0"/>
          <w:docGrid w:type="lines" w:linePitch="312" w:charSpace="0"/>
        </w:sectPr>
      </w:pPr>
    </w:p>
    <w:p>
      <w:pPr>
        <w:autoSpaceDE w:val="0"/>
        <w:autoSpaceDN w:val="0"/>
        <w:adjustRightInd w:val="0"/>
        <w:ind w:right="-670"/>
        <w:rPr>
          <w:rFonts w:eastAsia="楷体_GB2312"/>
          <w:color w:val="auto"/>
          <w:sz w:val="28"/>
          <w:szCs w:val="28"/>
          <w:highlight w:val="auto"/>
        </w:rPr>
      </w:pPr>
      <w:r>
        <w:rPr>
          <w:rFonts w:eastAsia="楷体_GB2312" w:hint="eastAsia"/>
          <w:color w:val="auto"/>
          <w:sz w:val="28"/>
          <w:szCs w:val="28"/>
          <w:highlight w:val="auto"/>
        </w:rPr>
        <w:t>附件1</w:t>
      </w:r>
    </w:p>
    <w:p>
      <w:pPr>
        <w:autoSpaceDE w:val="0"/>
        <w:autoSpaceDN w:val="0"/>
        <w:adjustRightInd w:val="0"/>
        <w:ind w:left="540" w:firstLine="30"/>
        <w:jc w:val="left"/>
        <w:rPr>
          <w:rFonts w:eastAsia="楷体_GB2312"/>
          <w:color w:val="auto"/>
          <w:sz w:val="28"/>
          <w:szCs w:val="28"/>
          <w:u w:val="single"/>
          <w:highlight w:val="auto"/>
        </w:rPr>
      </w:pPr>
      <w:r>
        <w:rPr>
          <w:rFonts w:eastAsia="楷体_GB2312" w:hint="eastAsia"/>
          <w:b/>
          <w:color w:val="auto"/>
          <w:sz w:val="28"/>
          <w:szCs w:val="28"/>
          <w:lang w:val="zh-CN"/>
          <w:highlight w:val="auto"/>
        </w:rPr>
        <w:t>报价明细表</w:t>
      </w:r>
      <w:r>
        <w:rPr>
          <w:rFonts w:ascii="宋体" w:cs="宋体"/>
          <w:color w:val="auto"/>
          <w:szCs w:val="21"/>
          <w:highlight w:val="auto"/>
        </w:rPr>
        <w:t>（</w:t>
      </w:r>
      <w:r>
        <w:rPr>
          <w:rFonts w:ascii="宋体" w:cs="宋体" w:hint="eastAsia"/>
          <w:color w:val="auto"/>
          <w:szCs w:val="21"/>
          <w:highlight w:val="auto"/>
        </w:rPr>
        <w:t>单价不能为0。</w:t>
      </w:r>
      <w:r>
        <w:rPr>
          <w:rFonts w:ascii="宋体" w:cs="宋体"/>
          <w:color w:val="auto"/>
          <w:szCs w:val="21"/>
          <w:highlight w:val="auto"/>
        </w:rPr>
        <w:t>此表系申报减免税的依据，不再作拆分</w:t>
      </w:r>
      <w:r>
        <w:rPr>
          <w:rFonts w:ascii="宋体" w:cs="宋体" w:hint="eastAsia"/>
          <w:color w:val="auto"/>
          <w:szCs w:val="21"/>
          <w:highlight w:val="auto"/>
        </w:rPr>
        <w:t>。</w:t>
      </w:r>
      <w:r>
        <w:rPr>
          <w:rFonts w:ascii="宋体" w:cs="宋体"/>
          <w:color w:val="auto"/>
          <w:szCs w:val="21"/>
          <w:highlight w:val="auto"/>
        </w:rPr>
        <w:t>）</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48"/>
        <w:gridCol w:w="2141"/>
        <w:gridCol w:w="3060"/>
        <w:gridCol w:w="1189"/>
        <w:gridCol w:w="990"/>
        <w:gridCol w:w="810"/>
        <w:gridCol w:w="1440"/>
        <w:gridCol w:w="1704"/>
      </w:tblGrid>
      <w:tr>
        <w:trPr>
          <w:trHeight w:val="567"/>
        </w:trPr>
        <w:tc>
          <w:tcPr>
            <w:tcW w:w="948"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序号</w:t>
            </w:r>
          </w:p>
        </w:tc>
        <w:tc>
          <w:tcPr>
            <w:tcW w:w="2141"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货物</w:t>
            </w:r>
            <w:r>
              <w:rPr>
                <w:rFonts w:eastAsia="楷体_GB2312" w:hint="eastAsia"/>
                <w:color w:val="auto"/>
                <w:sz w:val="24"/>
                <w:lang w:val="zh-CN"/>
                <w:highlight w:val="auto"/>
              </w:rPr>
              <w:t>名称</w:t>
            </w:r>
          </w:p>
        </w:tc>
        <w:tc>
          <w:tcPr>
            <w:tcW w:w="3060" w:type="dxa"/>
            <w:tcBorders>
              <w:top w:val="single" w:sz="6" w:space="0" w:color="auto"/>
              <w:left w:val="single" w:sz="6" w:space="0" w:color="auto"/>
              <w:bottom w:val="single" w:sz="6" w:space="0" w:color="auto"/>
              <w:right w:val="single" w:sz="4"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品牌</w:t>
            </w:r>
            <w:r>
              <w:rPr>
                <w:rFonts w:eastAsia="楷体_GB2312" w:hint="eastAsia"/>
                <w:color w:val="auto"/>
                <w:sz w:val="24"/>
                <w:lang w:val="zh-CN"/>
                <w:highlight w:val="auto"/>
              </w:rPr>
              <w:t>型号规格</w:t>
            </w:r>
          </w:p>
        </w:tc>
        <w:tc>
          <w:tcPr>
            <w:tcW w:w="1189" w:type="dxa"/>
            <w:tcBorders>
              <w:top w:val="single" w:sz="6" w:space="0" w:color="auto"/>
              <w:left w:val="single" w:sz="4"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供货方式</w:t>
            </w:r>
          </w:p>
        </w:tc>
        <w:tc>
          <w:tcPr>
            <w:tcW w:w="99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数量</w:t>
            </w:r>
          </w:p>
        </w:tc>
        <w:tc>
          <w:tcPr>
            <w:tcW w:w="81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单</w:t>
            </w:r>
            <w:r>
              <w:rPr>
                <w:rFonts w:eastAsia="楷体_GB2312" w:hint="eastAsia"/>
                <w:color w:val="auto"/>
                <w:sz w:val="24"/>
                <w:highlight w:val="auto"/>
              </w:rPr>
              <w:t>位</w:t>
            </w:r>
          </w:p>
        </w:tc>
        <w:tc>
          <w:tcPr>
            <w:tcW w:w="144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单价</w:t>
            </w:r>
            <w:r>
              <w:rPr>
                <w:rFonts w:eastAsia="楷体_GB2312"/>
                <w:color w:val="auto"/>
                <w:sz w:val="24"/>
                <w:highlight w:val="auto"/>
              </w:rPr>
              <w:t>（元）</w:t>
            </w:r>
          </w:p>
        </w:tc>
        <w:tc>
          <w:tcPr>
            <w:tcW w:w="1704"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金额</w:t>
            </w:r>
            <w:r>
              <w:rPr>
                <w:rFonts w:eastAsia="楷体_GB2312"/>
                <w:color w:val="auto"/>
                <w:sz w:val="24"/>
                <w:highlight w:val="auto"/>
              </w:rPr>
              <w:t>（元）</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国</w:t>
            </w:r>
            <w:r>
              <w:rPr>
                <w:rFonts w:eastAsia="楷体_GB2312" w:hint="eastAsia"/>
                <w:color w:val="auto"/>
                <w:sz w:val="24"/>
                <w:highlight w:val="auto"/>
              </w:rPr>
              <w:t>内供货</w:t>
            </w: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3</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以下无</w:t>
            </w: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4</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5</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总价</w:t>
            </w:r>
          </w:p>
        </w:tc>
        <w:tc>
          <w:tcPr>
            <w:tcW w:w="11334" w:type="dxa"/>
            <w:gridSpan w:val="7"/>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color w:val="auto"/>
                <w:highlight w:val="auto"/>
              </w:rPr>
            </w:pPr>
            <w:r>
              <w:rPr>
                <w:rFonts w:hint="eastAsia"/>
                <w:color w:val="auto"/>
                <w:highlight w:val="auto"/>
              </w:rPr>
              <w:t>元</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color w:val="auto"/>
                <w:highlight w:val="auto"/>
              </w:rPr>
            </w:pPr>
            <w:r>
              <w:rPr>
                <w:rFonts w:hint="eastAsia"/>
                <w:color w:val="auto"/>
                <w:highlight w:val="auto"/>
              </w:rPr>
              <w:t>项目采用公开招标方式采购时，以下不需要填写。</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hint="eastAsia"/>
                <w:bCs/>
                <w:color w:val="auto"/>
                <w:szCs w:val="21"/>
                <w:highlight w:val="auto"/>
              </w:rPr>
              <w:sym w:font="Wingdings" w:char="A8"/>
            </w:r>
            <w:r>
              <w:rPr>
                <w:rFonts w:eastAsia="楷体_GB2312" w:hint="eastAsia"/>
                <w:color w:val="auto"/>
                <w:sz w:val="24"/>
                <w:highlight w:val="auto"/>
              </w:rPr>
              <w:t>本项目采用竞争性磋商、单一来源谈判等方式采购，</w:t>
            </w:r>
            <w:r>
              <w:rPr>
                <w:rFonts w:ascii="楷体_GB2312" w:eastAsia="楷体_GB2312" w:hint="eastAsia"/>
                <w:color w:val="auto"/>
                <w:sz w:val="24"/>
                <w:highlight w:val="auto"/>
              </w:rPr>
              <w:t>表中报价为初次报价时的明细清单，实际按最终报价进行相应折扣处理。另，</w:t>
            </w:r>
            <w:r>
              <w:rPr>
                <w:rFonts w:eastAsia="楷体_GB2312" w:hint="eastAsia"/>
                <w:color w:val="auto"/>
                <w:sz w:val="24"/>
                <w:highlight w:val="auto"/>
              </w:rPr>
              <w:t>供应商承诺免费赠送的货物如下：</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以下无</w:t>
            </w: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bl>
    <w:p>
      <w:pPr>
        <w:pStyle w:val="21"/>
        <w:rPr>
          <w:color w:val="auto"/>
          <w:highlight w:val="auto"/>
        </w:rPr>
      </w:pPr>
    </w:p>
    <w:p>
      <w:pPr>
        <w:rPr>
          <w:rFonts w:eastAsia="楷体_GB2312"/>
          <w:color w:val="auto"/>
          <w:highlight w:val="auto"/>
        </w:rPr>
        <w:sectPr>
          <w:headerReference w:type="default" r:id="rId5"/>
          <w:pgSz w:w="15840" w:h="12240" w:orient="landscape"/>
          <w:pgMar w:top="1797" w:right="1440" w:bottom="663" w:left="1440" w:header="720" w:footer="720" w:gutter="0"/>
          <w:docGrid w:linePitch="312" w:charSpace="0"/>
        </w:sectPr>
      </w:pPr>
    </w:p>
    <w:p>
      <w:pPr>
        <w:adjustRightInd w:val="0"/>
        <w:snapToGrid w:val="0"/>
        <w:spacing w:beforeLines="50" w:before="190" w:afterLines="50" w:after="190" w:line="360" w:lineRule="auto"/>
        <w:jc w:val="center"/>
        <w:outlineLvl w:val="0"/>
        <w:rPr>
          <w:rFonts w:ascii="宋体" w:eastAsia="宋体" w:cs="宋体" w:hint="eastAsia"/>
          <w:b/>
          <w:color w:val="auto"/>
          <w:szCs w:val="21"/>
          <w:lang w:eastAsia="zh-CN"/>
          <w:highlight w:val="auto"/>
        </w:rPr>
      </w:pPr>
      <w:bookmarkStart w:id="65" w:name="_Toc25938"/>
      <w:r>
        <w:rPr>
          <w:rFonts w:ascii="宋体" w:hint="eastAsia"/>
          <w:b/>
          <w:color w:val="auto"/>
          <w:sz w:val="32"/>
          <w:szCs w:val="32"/>
          <w:highlight w:val="auto"/>
        </w:rPr>
        <w:t>第四章</w:t>
      </w:r>
      <w:r>
        <w:rPr>
          <w:rFonts w:ascii="宋体"/>
          <w:b/>
          <w:color w:val="auto"/>
          <w:sz w:val="32"/>
          <w:szCs w:val="32"/>
          <w:highlight w:val="auto"/>
        </w:rPr>
        <w:t xml:space="preserve">  </w:t>
      </w:r>
      <w:bookmarkEnd w:id="57"/>
      <w:bookmarkEnd w:id="65"/>
      <w:r>
        <w:rPr>
          <w:rFonts w:ascii="宋体" w:hint="eastAsia"/>
          <w:b/>
          <w:color w:val="auto"/>
          <w:sz w:val="32"/>
          <w:szCs w:val="32"/>
          <w:lang w:eastAsia="zh-CN"/>
          <w:highlight w:val="auto"/>
        </w:rPr>
        <w:t>采购需求</w:t>
      </w:r>
    </w:p>
    <w:p>
      <w:pPr>
        <w:spacing w:line="360" w:lineRule="auto"/>
        <w:rPr>
          <w:rFonts w:ascii="宋体" w:cs="宋体"/>
          <w:b/>
          <w:color w:val="auto"/>
          <w:szCs w:val="21"/>
          <w:highlight w:val="auto"/>
        </w:rPr>
      </w:pPr>
      <w:bookmarkStart w:id="66" w:name="_Toc60757532"/>
      <w:bookmarkStart w:id="67" w:name="_Toc226969356"/>
      <w:bookmarkStart w:id="68" w:name="_Toc227057962"/>
      <w:bookmarkEnd w:id="58"/>
      <w:bookmarkEnd w:id="59"/>
      <w:bookmarkEnd w:id="60"/>
      <w:r>
        <w:rPr>
          <w:rFonts w:ascii="宋体" w:cs="宋体" w:hint="eastAsia"/>
          <w:b/>
          <w:color w:val="auto"/>
          <w:szCs w:val="21"/>
          <w:highlight w:val="auto"/>
        </w:rPr>
        <w:t>一</w:t>
      </w:r>
      <w:r>
        <w:rPr>
          <w:rFonts w:ascii="宋体" w:cs="宋体" w:hint="eastAsia"/>
          <w:b/>
          <w:color w:val="auto"/>
          <w:szCs w:val="21"/>
          <w:lang w:val="zh-CN"/>
          <w:highlight w:val="auto"/>
        </w:rPr>
        <w:t>、</w:t>
      </w:r>
      <w:r>
        <w:rPr>
          <w:rFonts w:ascii="宋体" w:cs="宋体" w:hint="eastAsia"/>
          <w:b/>
          <w:color w:val="auto"/>
          <w:szCs w:val="21"/>
          <w:highlight w:val="auto"/>
        </w:rPr>
        <w:t>项目概况</w:t>
      </w:r>
    </w:p>
    <w:p>
      <w:pPr>
        <w:spacing w:line="360" w:lineRule="auto"/>
        <w:ind w:firstLineChars="200" w:firstLine="420"/>
        <w:jc w:val="left"/>
        <w:rPr>
          <w:rFonts w:ascii="宋体"/>
          <w:color w:val="auto"/>
          <w:szCs w:val="21"/>
          <w:lang w:val="zh-CN"/>
          <w:highlight w:val="auto"/>
        </w:rPr>
      </w:pPr>
      <w:r>
        <w:rPr>
          <w:rFonts w:ascii="宋体" w:hint="eastAsia"/>
          <w:color w:val="auto"/>
          <w:szCs w:val="21"/>
          <w:highlight w:val="auto"/>
        </w:rPr>
        <w:t>根据嘉兴海关实验室建设规划要求，</w:t>
      </w:r>
      <w:r>
        <w:rPr>
          <w:rFonts w:ascii="宋体" w:hint="eastAsia"/>
          <w:color w:val="auto"/>
          <w:szCs w:val="21"/>
          <w:lang w:eastAsia="zh-CN"/>
          <w:highlight w:val="auto"/>
        </w:rPr>
        <w:t>嘉兴海关综合技术服务中心2025年实验室仪器设备更新项目（一）（第三次）</w:t>
      </w:r>
      <w:r>
        <w:rPr>
          <w:rFonts w:ascii="宋体" w:hint="eastAsia"/>
          <w:color w:val="auto"/>
          <w:szCs w:val="21"/>
          <w:highlight w:val="auto"/>
        </w:rPr>
        <w:t>计划采购设备</w:t>
      </w:r>
      <w:r>
        <w:rPr>
          <w:rFonts w:ascii="宋体" w:hint="eastAsia"/>
          <w:color w:val="auto"/>
          <w:szCs w:val="21"/>
          <w:lang w:val="en-US" w:eastAsia="zh-CN"/>
          <w:highlight w:val="auto"/>
        </w:rPr>
        <w:t>5</w:t>
      </w:r>
      <w:r>
        <w:rPr>
          <w:rFonts w:ascii="宋体" w:hint="eastAsia"/>
          <w:color w:val="auto"/>
          <w:szCs w:val="21"/>
          <w:highlight w:val="auto"/>
        </w:rPr>
        <w:t>台（套），总投资</w:t>
      </w:r>
      <w:r>
        <w:rPr>
          <w:rFonts w:ascii="宋体" w:hint="eastAsia"/>
          <w:color w:val="auto"/>
          <w:szCs w:val="21"/>
          <w:lang w:val="en-US" w:eastAsia="zh-CN"/>
          <w:highlight w:val="auto"/>
        </w:rPr>
        <w:t>91</w:t>
      </w:r>
      <w:r>
        <w:rPr>
          <w:rFonts w:ascii="宋体" w:hint="eastAsia"/>
          <w:color w:val="auto"/>
          <w:szCs w:val="21"/>
          <w:highlight w:val="auto"/>
        </w:rPr>
        <w:t>万元，</w:t>
      </w:r>
      <w:r>
        <w:rPr>
          <w:rFonts w:ascii="宋体" w:hint="eastAsia"/>
          <w:color w:val="auto"/>
          <w:szCs w:val="21"/>
          <w:lang w:val="en-US" w:eastAsia="zh-CN"/>
          <w:highlight w:val="auto"/>
        </w:rPr>
        <w:t>本项目为</w:t>
      </w:r>
      <w:r>
        <w:rPr>
          <w:rFonts w:ascii="宋体" w:eastAsia="宋体" w:hint="eastAsia"/>
          <w:color w:val="auto"/>
          <w:szCs w:val="21"/>
          <w:lang w:val="en-US" w:eastAsia="zh-CN"/>
          <w:highlight w:val="auto"/>
        </w:rPr>
        <w:t>口岸进出口商品（食品、涂料、肥料、玩具）中有害物质监管、卫生检疫等工作的阵地，是口岸进出口商品检验监管和公共卫生服务不可缺少的一部分，可防止有害物质不合格的食品、涂料进入国内市场以及对出入境人员实施健康体检是加强传染源管理、防止检疫传染病跨境传播的起到重要作用，能有效促进嘉兴海关更好履行守国门，促发展神圣使命。</w:t>
      </w:r>
    </w:p>
    <w:p>
      <w:pPr>
        <w:spacing w:line="360" w:lineRule="auto"/>
        <w:rPr>
          <w:rFonts w:ascii="宋体" w:cs="宋体"/>
          <w:b/>
          <w:color w:val="auto"/>
          <w:szCs w:val="21"/>
          <w:highlight w:val="auto"/>
        </w:rPr>
      </w:pPr>
      <w:r>
        <w:rPr>
          <w:rFonts w:ascii="宋体" w:cs="宋体" w:hint="eastAsia"/>
          <w:b/>
          <w:color w:val="auto"/>
          <w:szCs w:val="21"/>
          <w:highlight w:val="auto"/>
        </w:rPr>
        <w:t>二、技术指标要求：</w:t>
      </w:r>
    </w:p>
    <w:p>
      <w:pPr>
        <w:spacing w:line="360" w:lineRule="auto"/>
        <w:ind w:firstLineChars="200" w:firstLine="420"/>
        <w:rPr>
          <w:rFonts w:ascii="宋体" w:cs="宋体"/>
          <w:b/>
          <w:bCs/>
          <w:color w:val="auto"/>
          <w:szCs w:val="21"/>
          <w:highlight w:val="auto"/>
        </w:rPr>
      </w:pPr>
      <w:r>
        <w:rPr>
          <w:rFonts w:ascii="宋体" w:cs="宋体" w:hint="eastAsia"/>
          <w:b/>
          <w:bCs/>
          <w:color w:val="auto"/>
          <w:szCs w:val="21"/>
          <w:highlight w:val="auto"/>
        </w:rPr>
        <w:t>带“▲”的是重要指标，必须满足，如不满足则为无效响应。带“★”的是关键指标。其他未标注符号的条款为一般技术参数。佐证材料，包括但不限于各类官方正式发布的资料，如：宣传册、数据表、用户手册、技术手册等</w:t>
      </w:r>
      <w:r>
        <w:rPr>
          <w:rFonts w:ascii="宋体" w:cs="宋体" w:hint="eastAsia"/>
          <w:b/>
          <w:bCs/>
          <w:color w:val="auto"/>
          <w:szCs w:val="21"/>
          <w:lang w:eastAsia="zh-CN"/>
          <w:highlight w:val="auto"/>
        </w:rPr>
        <w:t>（</w:t>
      </w:r>
      <w:r>
        <w:rPr>
          <w:rFonts w:ascii="宋体" w:cs="宋体" w:hint="eastAsia"/>
          <w:b/>
          <w:bCs/>
          <w:color w:val="auto"/>
          <w:szCs w:val="21"/>
          <w:lang w:val="en-US" w:eastAsia="zh-CN"/>
          <w:highlight w:val="auto"/>
        </w:rPr>
        <w:t>具体以需求表中要求为准</w:t>
      </w:r>
      <w:r>
        <w:rPr>
          <w:rFonts w:ascii="宋体" w:cs="宋体" w:hint="eastAsia"/>
          <w:b/>
          <w:bCs/>
          <w:color w:val="auto"/>
          <w:szCs w:val="21"/>
          <w:lang w:eastAsia="zh-CN"/>
          <w:highlight w:val="auto"/>
        </w:rPr>
        <w:t>）</w:t>
      </w:r>
      <w:r>
        <w:rPr>
          <w:rFonts w:ascii="宋体" w:cs="宋体" w:hint="eastAsia"/>
          <w:b/>
          <w:bCs/>
          <w:color w:val="auto"/>
          <w:szCs w:val="21"/>
          <w:highlight w:val="auto"/>
        </w:rPr>
        <w:t>,未提供佐证材料的，评标委员会可以认定为负偏离。</w:t>
      </w: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1.采购清单</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嘉兴海关综合技术服务中心2025年实验室仪器设备更新项目（一）（第三次）</w:t>
            </w:r>
          </w:p>
        </w:tc>
        <w:tc>
          <w:tcPr>
            <w:tcW w:w="1696"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平行浓缩仪</w:t>
            </w:r>
          </w:p>
        </w:tc>
        <w:tc>
          <w:tcPr>
            <w:tcW w:w="61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1</w:t>
            </w:r>
          </w:p>
        </w:tc>
        <w:tc>
          <w:tcPr>
            <w:tcW w:w="67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台套</w:t>
            </w:r>
          </w:p>
        </w:tc>
        <w:tc>
          <w:tcPr>
            <w:tcW w:w="109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val="en-US" w:eastAsia="zh-CN"/>
                <w:highlight w:val="auto"/>
              </w:rPr>
              <w:t>10</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91</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1（核心产品）</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3</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2（核心产品）</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19</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4</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研磨仪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5</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凝胶色谱仪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32</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spacing w:line="360" w:lineRule="auto"/>
        <w:ind w:firstLineChars="200" w:firstLine="420"/>
        <w:rPr>
          <w:rFonts w:ascii="宋体" w:cs="宋体" w:hint="eastAsia"/>
          <w:color w:val="auto"/>
          <w:szCs w:val="21"/>
          <w:highlight w:val="auto"/>
        </w:rPr>
      </w:pP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2.设备清单如下：</w:t>
      </w:r>
    </w:p>
    <w:tbl>
      <w:tblPr>
        <w:jc w:val="left"/>
        <w:tblInd w:w="0" w:type="dxa"/>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8"/>
        <w:gridCol w:w="1412"/>
        <w:gridCol w:w="5743"/>
        <w:gridCol w:w="958"/>
      </w:tblGrid>
      <w:tr>
        <w:tc>
          <w:tcPr>
            <w:tcW w:w="71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序号</w:t>
            </w:r>
          </w:p>
        </w:tc>
        <w:tc>
          <w:tcPr>
            <w:tcW w:w="1412"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设备名称</w:t>
            </w:r>
          </w:p>
        </w:tc>
        <w:tc>
          <w:tcPr>
            <w:tcW w:w="5743"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包含内容名称</w:t>
            </w:r>
          </w:p>
        </w:tc>
        <w:tc>
          <w:tcPr>
            <w:tcW w:w="95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数量</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w:t>
            </w:r>
          </w:p>
        </w:tc>
        <w:tc>
          <w:tcPr>
            <w:tcW w:w="1412" w:type="dxa"/>
            <w:vMerge w:val="restart"/>
            <w:noWrap/>
            <w:vAlign w:val="center"/>
          </w:tcPr>
          <w:p>
            <w:pPr>
              <w:spacing w:line="360" w:lineRule="auto"/>
              <w:jc w:val="left"/>
              <w:rPr>
                <w:rFonts w:ascii="宋体" w:eastAsia="宋体" w:cs="宋体" w:hint="eastAsia"/>
                <w:color w:val="auto"/>
                <w:szCs w:val="21"/>
                <w:lang w:val="en-US" w:eastAsia="zh-CN"/>
                <w:highlight w:val="auto"/>
              </w:rPr>
            </w:pPr>
            <w:r>
              <w:rPr>
                <w:rFonts w:ascii="宋体" w:eastAsia="宋体" w:cs="宋体" w:hint="eastAsia"/>
                <w:color w:val="auto"/>
                <w:szCs w:val="21"/>
                <w:highlight w:val="auto"/>
              </w:rPr>
              <w:t>平行浓缩仪</w:t>
            </w: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b w:val="0"/>
                <w:color w:val="auto"/>
                <w:sz w:val="21"/>
                <w:szCs w:val="21"/>
                <w:highlight w:val="auto"/>
              </w:rPr>
              <w:t>平行浓缩仪</w:t>
            </w:r>
            <w:r>
              <w:rPr>
                <w:rFonts w:ascii="宋体" w:eastAsia="宋体" w:cs="宋体" w:hint="eastAsia"/>
                <w:b w:val="0"/>
                <w:color w:val="auto"/>
                <w:sz w:val="21"/>
                <w:szCs w:val="21"/>
                <w:lang w:val="en-US" w:eastAsia="zh-CN"/>
                <w:highlight w:val="auto"/>
              </w:rPr>
              <w:t>主机</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氮吹管套件（含氮吹针、密封O型圈）</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4套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3</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氮吹针</w:t>
              <w:tab/>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40根</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4</w:t>
            </w:r>
          </w:p>
        </w:tc>
        <w:tc>
          <w:tcPr>
            <w:tcW w:w="1412" w:type="dxa"/>
            <w:vMerge/>
            <w:noWrap/>
            <w:vAlign w:val="center"/>
          </w:tcPr>
          <w:p/>
        </w:tc>
        <w:tc>
          <w:tcPr>
            <w:tcW w:w="5743" w:type="dxa"/>
            <w:noWrap/>
            <w:vAlign w:val="center"/>
          </w:tcPr>
          <w:p>
            <w:pPr>
              <w:spacing w:line="360" w:lineRule="auto"/>
              <w:jc w:val="both"/>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安装工具包，包括氮吹管密封圈、长排气管、堵头32个、喉箍</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5</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15ml浓缩管架 （适用于15ml 离心管）</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6</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60ml样品瓶架 (适用于60 mL样品瓶）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7</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15ml塑料离心管、60ml浓缩管（100个/包）</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1包</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8</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60ml浓缩管（100个/包）</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1包</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9</w:t>
            </w:r>
          </w:p>
        </w:tc>
        <w:tc>
          <w:tcPr>
            <w:tcW w:w="1412" w:type="dxa"/>
            <w:vMerge w:val="restart"/>
            <w:noWrap/>
            <w:vAlign w:val="center"/>
          </w:tcPr>
          <w:p>
            <w:pPr>
              <w:spacing w:line="360" w:lineRule="auto"/>
              <w:jc w:val="center"/>
              <w:rPr>
                <w:rFonts w:ascii="宋体" w:eastAsia="宋体" w:cs="宋体" w:hint="eastAsia"/>
                <w:color w:val="auto"/>
                <w:szCs w:val="21"/>
                <w:lang w:eastAsia="zh-CN"/>
                <w:highlight w:val="auto"/>
              </w:rPr>
            </w:pPr>
            <w:r>
              <w:rPr>
                <w:rFonts w:ascii="宋体" w:eastAsia="宋体" w:cs="宋体" w:hint="eastAsia"/>
                <w:color w:val="auto"/>
                <w:szCs w:val="21"/>
                <w:highlight w:val="auto"/>
              </w:rPr>
              <w:t>旋转蒸发仪</w:t>
            </w:r>
            <w:r>
              <w:rPr>
                <w:rFonts w:ascii="宋体" w:eastAsia="宋体" w:cs="宋体" w:hint="eastAsia"/>
                <w:color w:val="auto"/>
                <w:szCs w:val="21"/>
                <w:lang w:val="en-US" w:eastAsia="zh-CN"/>
                <w:highlight w:val="auto"/>
              </w:rPr>
              <w:t>1</w:t>
            </w:r>
            <w:r>
              <w:rPr>
                <w:rFonts w:ascii="宋体" w:hint="eastAsia"/>
                <w:color w:val="auto"/>
                <w:szCs w:val="21"/>
                <w:lang w:val="en-US" w:eastAsia="zh-CN"/>
                <w:highlight w:val="auto"/>
              </w:rPr>
              <w:t>（核心产品）</w:t>
            </w:r>
          </w:p>
          <w:p>
            <w:pPr>
              <w:spacing w:line="360" w:lineRule="auto"/>
              <w:jc w:val="center"/>
              <w:rPr>
                <w:rFonts w:ascii="宋体" w:eastAsia="宋体" w:cs="宋体" w:hint="eastAsia"/>
                <w:color w:val="auto"/>
                <w:szCs w:val="21"/>
                <w:lang w:val="en-US" w:eastAsia="zh-CN"/>
                <w:highlight w:val="auto"/>
              </w:rPr>
            </w:pPr>
          </w:p>
        </w:tc>
        <w:tc>
          <w:tcPr>
            <w:tcW w:w="5743" w:type="dxa"/>
            <w:noWrap/>
            <w:vAlign w:val="center"/>
          </w:tcPr>
          <w:p>
            <w:pPr>
              <w:widowControl/>
              <w:autoSpaceDE/>
              <w:autoSpaceDN/>
              <w:adjustRightInd w:val="0"/>
              <w:snapToGrid w:val="0"/>
              <w:spacing w:line="360" w:lineRule="auto"/>
              <w:ind w:firstLine="0"/>
              <w:jc w:val="left"/>
              <w:rPr>
                <w:rFonts w:ascii="宋体" w:eastAsia="宋体" w:cs="宋体" w:hint="eastAsia"/>
                <w:color w:val="auto"/>
                <w:szCs w:val="21"/>
                <w:highlight w:val="auto"/>
              </w:rPr>
            </w:pPr>
            <w:r>
              <w:rPr>
                <w:rFonts w:ascii="宋体" w:eastAsia="宋体" w:cs="宋体" w:hint="eastAsia"/>
                <w:color w:val="auto"/>
                <w:szCs w:val="22"/>
                <w:highlight w:val="auto"/>
              </w:rPr>
              <w:t>全自动双通道旋转蒸发仪1套（包含两个旋转蒸发器、两个耐腐蚀真空泵和两个真空控制器）</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10</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left"/>
              <w:rPr>
                <w:rFonts w:ascii="宋体" w:eastAsia="宋体" w:cs="宋体" w:hint="eastAsia"/>
                <w:color w:val="auto"/>
                <w:szCs w:val="21"/>
                <w:highlight w:val="auto"/>
              </w:rPr>
            </w:pPr>
            <w:r>
              <w:rPr>
                <w:rFonts w:ascii="宋体" w:eastAsia="宋体" w:cs="宋体" w:hint="eastAsia"/>
                <w:color w:val="auto"/>
                <w:szCs w:val="22"/>
                <w:highlight w:val="auto"/>
              </w:rPr>
              <w:t>低温冷却水循环装置</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2"/>
                <w:highlight w:val="auto"/>
              </w:rPr>
              <w:t>1套</w:t>
            </w:r>
          </w:p>
        </w:tc>
      </w:tr>
      <w:tr>
        <w:tc>
          <w:tcPr>
            <w:tcW w:w="71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11</w:t>
            </w:r>
          </w:p>
        </w:tc>
        <w:tc>
          <w:tcPr>
            <w:tcW w:w="1412" w:type="dxa"/>
            <w:vMerge w:val="restart"/>
            <w:shd w:val="clear" w:color="auto" w:fill="auto"/>
            <w:noWrap/>
            <w:vAlign w:val="center"/>
          </w:tcPr>
          <w:p>
            <w:pPr>
              <w:spacing w:line="360" w:lineRule="auto"/>
              <w:jc w:val="center"/>
              <w:rPr>
                <w:rFonts w:ascii="宋体" w:eastAsia="宋体" w:cs="宋体" w:hint="eastAsia"/>
                <w:color w:val="auto"/>
                <w:szCs w:val="21"/>
                <w:lang w:eastAsia="zh-CN"/>
                <w:highlight w:val="auto"/>
              </w:rPr>
            </w:pPr>
            <w:r>
              <w:rPr>
                <w:rFonts w:ascii="宋体" w:eastAsia="宋体" w:cs="宋体" w:hint="eastAsia"/>
                <w:color w:val="auto"/>
                <w:szCs w:val="21"/>
                <w:highlight w:val="auto"/>
              </w:rPr>
              <w:t>旋转蒸发仪</w:t>
            </w:r>
            <w:r>
              <w:rPr>
                <w:rFonts w:ascii="宋体" w:eastAsia="宋体" w:cs="宋体" w:hint="eastAsia"/>
                <w:color w:val="auto"/>
                <w:szCs w:val="21"/>
                <w:lang w:val="en-US" w:eastAsia="zh-CN"/>
                <w:highlight w:val="auto"/>
              </w:rPr>
              <w:t>2</w:t>
            </w:r>
            <w:r>
              <w:rPr>
                <w:rFonts w:ascii="宋体" w:hint="eastAsia"/>
                <w:color w:val="auto"/>
                <w:szCs w:val="21"/>
                <w:lang w:val="en-US" w:eastAsia="zh-CN"/>
                <w:highlight w:val="auto"/>
              </w:rPr>
              <w:t>（核心产品）</w:t>
            </w:r>
          </w:p>
          <w:p>
            <w:pPr>
              <w:spacing w:line="360" w:lineRule="auto"/>
              <w:jc w:val="center"/>
              <w:rPr>
                <w:rFonts w:ascii="宋体" w:eastAsia="宋体" w:cs="宋体" w:hint="eastAsia"/>
                <w:color w:val="auto"/>
                <w:kern w:val="2"/>
                <w:sz w:val="21"/>
                <w:szCs w:val="21"/>
                <w:lang w:val="en-US" w:eastAsia="zh-CN" w:bidi="ar-SA"/>
                <w:highlight w:val="auto"/>
              </w:rPr>
            </w:pPr>
          </w:p>
          <w:p>
            <w:pPr>
              <w:spacing w:line="360" w:lineRule="auto"/>
              <w:jc w:val="center"/>
              <w:rPr>
                <w:rFonts w:ascii="宋体" w:eastAsia="宋体" w:cs="宋体" w:hint="eastAsia"/>
                <w:b/>
                <w:bCs/>
                <w:color w:val="auto"/>
                <w:szCs w:val="21"/>
                <w:lang w:val="en-US" w:eastAsia="zh-CN"/>
                <w:highlight w:val="auto"/>
              </w:rPr>
            </w:pPr>
          </w:p>
        </w:tc>
        <w:tc>
          <w:tcPr>
            <w:tcW w:w="5743" w:type="dxa"/>
            <w:shd w:val="clear" w:color="auto" w:fill="auto"/>
            <w:noWrap/>
            <w:vAlign w:val="center"/>
          </w:tcPr>
          <w:p>
            <w:pPr>
              <w:widowControl/>
              <w:autoSpaceDE/>
              <w:autoSpaceDN/>
              <w:adjustRightInd/>
              <w:snapToGrid/>
              <w:spacing w:line="360" w:lineRule="auto"/>
              <w:ind w:firstLine="0"/>
              <w:jc w:val="left"/>
              <w:rPr>
                <w:rFonts w:ascii="宋体" w:eastAsia="宋体" w:cs="宋体" w:hint="eastAsia"/>
                <w:color w:val="auto"/>
                <w:kern w:val="2"/>
                <w:sz w:val="21"/>
                <w:szCs w:val="21"/>
                <w:lang w:val="en-US" w:eastAsia="zh-CN" w:bidi="ar-SA"/>
                <w:highlight w:val="auto"/>
              </w:rPr>
            </w:pPr>
            <w:r>
              <w:rPr>
                <w:rFonts w:ascii="宋体" w:eastAsia="宋体" w:cs="宋体" w:hint="eastAsia"/>
                <w:color w:val="auto"/>
                <w:kern w:val="2"/>
                <w:highlight w:val="auto"/>
              </w:rPr>
              <w:t>全自动双通道旋转蒸发仪1套（包含两个旋转蒸发器、两个耐腐蚀真空泵和两个真空控制器）</w:t>
            </w:r>
          </w:p>
        </w:tc>
        <w:tc>
          <w:tcPr>
            <w:tcW w:w="958" w:type="dxa"/>
            <w:shd w:val="clear" w:color="auto" w:fill="auto"/>
            <w:noWrap/>
            <w:vAlign w:val="center"/>
          </w:tcPr>
          <w:p>
            <w:pPr>
              <w:widowControl/>
              <w:autoSpaceDE/>
              <w:autoSpaceDN/>
              <w:adjustRightInd/>
              <w:snapToGrid/>
              <w:spacing w:line="360" w:lineRule="auto"/>
              <w:ind w:firstLine="0"/>
              <w:jc w:val="center"/>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12</w:t>
            </w:r>
          </w:p>
        </w:tc>
        <w:tc>
          <w:tcPr>
            <w:tcW w:w="1412" w:type="dxa"/>
            <w:vMerge/>
            <w:noWrap/>
            <w:vAlign w:val="center"/>
          </w:tcPr>
          <w:p/>
        </w:tc>
        <w:tc>
          <w:tcPr>
            <w:tcW w:w="5743" w:type="dxa"/>
            <w:shd w:val="clear" w:color="auto" w:fill="auto"/>
            <w:noWrap/>
            <w:vAlign w:val="center"/>
          </w:tcPr>
          <w:p>
            <w:pPr>
              <w:widowControl/>
              <w:autoSpaceDE/>
              <w:autoSpaceDN/>
              <w:adjustRightInd/>
              <w:snapToGrid/>
              <w:spacing w:line="360" w:lineRule="auto"/>
              <w:ind w:firstLine="0"/>
              <w:jc w:val="left"/>
              <w:rPr>
                <w:rFonts w:ascii="宋体" w:eastAsia="宋体" w:cs="宋体" w:hint="eastAsia"/>
                <w:color w:val="auto"/>
                <w:kern w:val="2"/>
                <w:sz w:val="21"/>
                <w:szCs w:val="21"/>
                <w:lang w:val="en-US" w:eastAsia="zh-CN" w:bidi="ar-SA"/>
                <w:highlight w:val="auto"/>
              </w:rPr>
            </w:pPr>
            <w:r>
              <w:rPr>
                <w:rFonts w:ascii="宋体" w:eastAsia="宋体" w:cs="宋体" w:hint="eastAsia"/>
                <w:color w:val="auto"/>
                <w:kern w:val="2"/>
                <w:highlight w:val="auto"/>
              </w:rPr>
              <w:t>低温冷却水循环装置</w:t>
            </w:r>
          </w:p>
        </w:tc>
        <w:tc>
          <w:tcPr>
            <w:tcW w:w="958" w:type="dxa"/>
            <w:shd w:val="clear" w:color="auto" w:fill="auto"/>
            <w:noWrap/>
            <w:vAlign w:val="center"/>
          </w:tcPr>
          <w:p>
            <w:pPr>
              <w:widowControl/>
              <w:autoSpaceDE/>
              <w:autoSpaceDN/>
              <w:adjustRightInd/>
              <w:snapToGrid/>
              <w:spacing w:line="360" w:lineRule="auto"/>
              <w:ind w:firstLine="0"/>
              <w:jc w:val="center"/>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2"/>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13</w:t>
            </w:r>
          </w:p>
        </w:tc>
        <w:tc>
          <w:tcPr>
            <w:tcW w:w="1412" w:type="dxa"/>
            <w:vMerge w:val="restart"/>
            <w:noWrap/>
            <w:vAlign w:val="center"/>
          </w:tcPr>
          <w:p>
            <w:pPr>
              <w:spacing w:line="360" w:lineRule="auto"/>
              <w:jc w:val="center"/>
              <w:rPr>
                <w:rFonts w:ascii="宋体" w:eastAsia="宋体" w:cs="宋体" w:hint="eastAsia"/>
                <w:color w:val="auto"/>
                <w:szCs w:val="21"/>
                <w:lang w:val="en-US" w:eastAsia="zh-CN"/>
                <w:highlight w:val="auto"/>
              </w:rPr>
            </w:pPr>
            <w:r>
              <w:rPr>
                <w:rFonts w:ascii="宋体" w:eastAsia="宋体" w:cs="宋体" w:hint="eastAsia"/>
                <w:color w:val="auto"/>
                <w:szCs w:val="21"/>
                <w:highlight w:val="auto"/>
              </w:rPr>
              <w:t>研磨仪</w:t>
            </w: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 w:val="21"/>
                <w:szCs w:val="22"/>
                <w:highlight w:val="auto"/>
              </w:rPr>
              <w:t>研磨仪</w:t>
            </w:r>
            <w:r>
              <w:rPr>
                <w:rFonts w:ascii="宋体" w:eastAsia="宋体" w:cs="宋体" w:hint="eastAsia"/>
                <w:color w:val="auto"/>
                <w:sz w:val="21"/>
                <w:szCs w:val="22"/>
                <w:lang w:val="en-US" w:eastAsia="zh-CN"/>
                <w:highlight w:val="auto"/>
              </w:rPr>
              <w:t>主机</w:t>
            </w:r>
            <w:r>
              <w:rPr>
                <w:rFonts w:ascii="宋体" w:eastAsia="宋体" w:cs="宋体" w:hint="eastAsia"/>
                <w:color w:val="auto"/>
                <w:szCs w:val="22"/>
                <w:highlight w:val="auto"/>
              </w:rPr>
              <w:t>（含研磨罐 聚丙烯（PP）1个 标准盖 聚丙烯（PP）1个 不锈钢刀1个）</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14</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研磨罐 聚丙烯（PP）</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5个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15</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标准盖 聚丙烯（PP）</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8个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16</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研磨罐 不锈钢</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3个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kern w:val="2"/>
                <w:sz w:val="21"/>
                <w:szCs w:val="21"/>
                <w:vertAlign w:val="baseline"/>
                <w:lang w:val="en-US" w:eastAsia="zh-CN" w:bidi="ar-SA"/>
                <w:highlight w:val="auto"/>
              </w:rPr>
              <w:t>17</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不锈钢刀</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4把</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kern w:val="2"/>
                <w:sz w:val="21"/>
                <w:szCs w:val="21"/>
                <w:vertAlign w:val="baseline"/>
                <w:lang w:val="en-US" w:eastAsia="zh-CN" w:bidi="ar-SA"/>
                <w:highlight w:val="auto"/>
              </w:rPr>
              <w:t>18</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刮刀</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1把</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19</w:t>
            </w:r>
          </w:p>
        </w:tc>
        <w:tc>
          <w:tcPr>
            <w:tcW w:w="1412" w:type="dxa"/>
            <w:vMerge w:val="restart"/>
            <w:noWrap/>
            <w:vAlign w:val="center"/>
          </w:tcPr>
          <w:p>
            <w:pPr>
              <w:spacing w:line="360" w:lineRule="auto"/>
              <w:jc w:val="center"/>
              <w:rPr>
                <w:rFonts w:ascii="宋体" w:eastAsia="宋体" w:cs="宋体" w:hint="eastAsia"/>
                <w:color w:val="auto"/>
                <w:szCs w:val="21"/>
                <w:lang w:val="en-US" w:eastAsia="zh-CN"/>
                <w:highlight w:val="auto"/>
              </w:rPr>
            </w:pPr>
            <w:r>
              <w:rPr>
                <w:rFonts w:ascii="宋体" w:eastAsia="宋体" w:cs="宋体" w:hint="eastAsia"/>
                <w:color w:val="auto"/>
                <w:szCs w:val="21"/>
                <w:highlight w:val="auto"/>
              </w:rPr>
              <w:t>凝胶色谱仪</w:t>
            </w: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color w:val="auto"/>
                <w:sz w:val="21"/>
                <w:szCs w:val="21"/>
                <w:highlight w:val="auto"/>
              </w:rPr>
              <w:t>凝胶色谱仪</w:t>
            </w:r>
            <w:r>
              <w:rPr>
                <w:rFonts w:ascii="宋体" w:eastAsia="宋体" w:cs="宋体" w:hint="eastAsia"/>
                <w:color w:val="auto"/>
                <w:sz w:val="21"/>
                <w:szCs w:val="21"/>
                <w:lang w:val="en-US" w:eastAsia="zh-CN"/>
                <w:highlight w:val="auto"/>
              </w:rPr>
              <w:t>主机</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20</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高压恒流输液泵</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21</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190-600nm可变波长紫外检测器</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22</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自动进样器</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23</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自动收集器</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24</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阀系统模块</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25</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lang w:val="en-US" w:eastAsia="zh-CN"/>
                <w:highlight w:val="auto"/>
              </w:rPr>
              <w:t>不</w:t>
            </w:r>
            <w:r>
              <w:rPr>
                <w:rFonts w:ascii="宋体" w:eastAsia="宋体" w:cs="宋体" w:hint="eastAsia"/>
                <w:bCs w:val="0"/>
                <w:color w:val="auto"/>
                <w:szCs w:val="21"/>
                <w:highlight w:val="auto"/>
              </w:rPr>
              <w:t>锈钢净化柱</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w:t>
            </w:r>
            <w:r>
              <w:rPr>
                <w:rFonts w:ascii="宋体" w:eastAsia="宋体" w:cs="宋体" w:hint="eastAsia"/>
                <w:bCs w:val="0"/>
                <w:color w:val="auto"/>
                <w:szCs w:val="21"/>
                <w:lang w:val="en-US" w:eastAsia="zh-CN"/>
                <w:highlight w:val="auto"/>
              </w:rPr>
              <w:t>根</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26</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不少于64位20ml样品架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lang w:val="en-US" w:eastAsia="zh-CN"/>
                <w:highlight w:val="auto"/>
              </w:rPr>
              <w:t>1个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27</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不少于48位60ml收集架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lang w:val="en-US" w:eastAsia="zh-CN"/>
                <w:highlight w:val="auto"/>
              </w:rPr>
              <w:t>1个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28</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20ml样品瓶/盖/垫（各100个/套）</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30</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60ml样品瓶/盖/垫（各100个/套）</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31</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启动包及配件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32</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color w:val="auto"/>
                <w:szCs w:val="21"/>
                <w:highlight w:val="auto"/>
              </w:rPr>
              <w:t>配套用工作站系统1套（相当于或优于6核心12线程，单核主频4.4GHz的CPU，16GB内存,1T硬盘, 独立显卡，DVD/CD-RW, 含正版操作系统与仪器软件能兼容，及配套工作相关输出设备</w:t>
            </w:r>
            <w:r>
              <w:rPr>
                <w:rFonts w:ascii="宋体" w:eastAsia="宋体" w:cs="宋体" w:hint="eastAsia"/>
                <w:color w:val="auto"/>
                <w:szCs w:val="21"/>
                <w:lang w:eastAsia="zh-CN"/>
                <w:highlight w:val="auto"/>
              </w:rPr>
              <w:t>（</w:t>
            </w:r>
            <w:r>
              <w:rPr>
                <w:rFonts w:ascii="宋体" w:eastAsia="宋体" w:cs="宋体" w:hint="eastAsia"/>
                <w:color w:val="auto"/>
                <w:szCs w:val="21"/>
                <w:lang w:val="en-US" w:eastAsia="zh-CN"/>
                <w:highlight w:val="auto"/>
              </w:rPr>
              <w:t>双面输出</w:t>
            </w:r>
            <w:r>
              <w:rPr>
                <w:rFonts w:ascii="宋体" w:eastAsia="宋体" w:cs="宋体" w:hint="eastAsia"/>
                <w:color w:val="auto"/>
                <w:szCs w:val="21"/>
                <w:lang w:eastAsia="zh-CN"/>
                <w:highlight w:val="auto"/>
              </w:rPr>
              <w:t>）</w:t>
            </w:r>
            <w:r>
              <w:rPr>
                <w:rFonts w:ascii="宋体" w:eastAsia="宋体" w:cs="宋体" w:hint="eastAsia"/>
                <w:color w:val="auto"/>
                <w:szCs w:val="21"/>
                <w:highlight w:val="auto"/>
              </w:rPr>
              <w:t>）</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33</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中文操作手册</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bl>
    <w:p>
      <w:pPr>
        <w:spacing w:beforeLines="100" w:before="380" w:afterLines="100" w:after="380" w:line="360" w:lineRule="auto"/>
        <w:ind w:firstLineChars="200" w:firstLine="420"/>
        <w:rPr>
          <w:rFonts w:ascii="宋体" w:cs="宋体"/>
          <w:color w:val="auto"/>
          <w:szCs w:val="21"/>
          <w:highlight w:val="auto"/>
        </w:rPr>
      </w:pPr>
      <w:r>
        <w:rPr>
          <w:rFonts w:ascii="宋体" w:cs="宋体" w:hint="eastAsia"/>
          <w:color w:val="auto"/>
          <w:szCs w:val="21"/>
          <w:highlight w:val="auto"/>
        </w:rPr>
        <w:t>2.1详细技术指标要求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1730"/>
        <w:gridCol w:w="6132"/>
      </w:tblGrid>
      <w:tr>
        <w:tc>
          <w:tcPr>
            <w:tcW w:w="858"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序号</w:t>
            </w:r>
          </w:p>
        </w:tc>
        <w:tc>
          <w:tcPr>
            <w:tcW w:w="1730"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设备名称</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指标参数</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color w:val="auto"/>
                <w:sz w:val="21"/>
                <w:szCs w:val="21"/>
                <w:lang w:val="en-US" w:eastAsia="zh-CN"/>
                <w:highlight w:val="auto"/>
              </w:rPr>
              <w:t>1</w:t>
            </w:r>
          </w:p>
        </w:tc>
        <w:tc>
          <w:tcPr>
            <w:tcW w:w="1730"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b/>
                <w:bCs/>
                <w:color w:val="auto"/>
                <w:sz w:val="21"/>
                <w:szCs w:val="21"/>
                <w:highlight w:val="auto"/>
              </w:rPr>
              <w:t>平行浓缩仪</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
                <w:color w:val="auto"/>
                <w:sz w:val="21"/>
                <w:szCs w:val="21"/>
                <w:highlight w:val="auto"/>
              </w:rPr>
              <w:t>用途：</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主要用于实验室多样品的快速浓缩，为气相、液相色谱等仪器提供样品制备的前处理设备。</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sz w:val="21"/>
                <w:szCs w:val="21"/>
                <w:lang w:eastAsia="zh-CN"/>
                <w:highlight w:val="auto"/>
              </w:rPr>
              <w:t>、</w:t>
            </w:r>
            <w:r>
              <w:rPr>
                <w:rFonts w:ascii="宋体" w:eastAsia="宋体" w:cs="宋体" w:hint="eastAsia"/>
                <w:b/>
                <w:bCs/>
                <w:color w:val="auto"/>
                <w:kern w:val="0"/>
                <w:sz w:val="21"/>
                <w:szCs w:val="21"/>
                <w:highlight w:val="auto"/>
              </w:rPr>
              <w:t>技术参数要求</w:t>
            </w:r>
            <w:r>
              <w:rPr>
                <w:rFonts w:ascii="宋体" w:eastAsia="宋体" w:cs="宋体" w:hint="eastAsia"/>
                <w:b/>
                <w:bCs/>
                <w:color w:val="auto"/>
                <w:sz w:val="21"/>
                <w:szCs w:val="21"/>
                <w:highlight w:val="auto"/>
              </w:rPr>
              <w:t xml:space="preserve"> </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利用水浴加热、氮吹方式对样品进行快速浓缩，同时不少于32位使用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bCs w:val="0"/>
                <w:color w:val="auto"/>
                <w:sz w:val="21"/>
                <w:szCs w:val="21"/>
                <w:highlight w:val="auto"/>
              </w:rPr>
              <w:t>2.2</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氮吹针可随待浓缩液面自动下降，在浓缩结束后自动升起；同时具有涡旋式氮吹方式，氮吹角度可调</w:t>
            </w:r>
            <w:r>
              <w:rPr>
                <w:rFonts w:ascii="宋体" w:eastAsia="宋体" w:cs="宋体" w:hint="eastAsia"/>
                <w:bCs w:val="0"/>
                <w:color w:val="auto"/>
                <w:sz w:val="21"/>
                <w:szCs w:val="21"/>
                <w:lang w:eastAsia="zh-CN"/>
                <w:highlight w:val="auto"/>
              </w:rPr>
              <w:t>；</w:t>
            </w:r>
            <w:r>
              <w:rPr>
                <w:rFonts w:ascii="宋体" w:eastAsia="宋体" w:cs="宋体" w:hint="eastAsia"/>
                <w:bCs w:val="0"/>
                <w:color w:val="auto"/>
                <w:sz w:val="21"/>
                <w:szCs w:val="21"/>
                <w:highlight w:val="auto"/>
              </w:rPr>
              <w:t xml:space="preserve"> </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2.3</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氮气流量可自动调节，不受通道开关数量变化的影响</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2.4</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氮吹管</w:t>
            </w:r>
            <w:r>
              <w:rPr>
                <w:rFonts w:ascii="宋体" w:eastAsia="宋体" w:cs="宋体" w:hint="eastAsia"/>
                <w:bCs w:val="0"/>
                <w:color w:val="auto"/>
                <w:sz w:val="21"/>
                <w:szCs w:val="21"/>
                <w:lang w:val="en-US" w:eastAsia="zh-CN"/>
                <w:highlight w:val="auto"/>
              </w:rPr>
              <w:t>可实现</w:t>
            </w:r>
            <w:r>
              <w:rPr>
                <w:rFonts w:ascii="宋体" w:eastAsia="宋体" w:cs="宋体" w:hint="eastAsia"/>
                <w:bCs w:val="0"/>
                <w:color w:val="auto"/>
                <w:sz w:val="21"/>
                <w:szCs w:val="21"/>
                <w:highlight w:val="auto"/>
              </w:rPr>
              <w:t>快换，不少于4通道，每个通道的氮吹管可整体拆卸，方便快捷的更换成其他位数的浓缩通道，方便拆卸清洗</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★2.5</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除整排更换氮吹管外，氮吹管上的单个氮吹针也均可方便的拆卸安装，方便不使用时用堵头堵上，节省氮气，操作方便</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（提供拆下整排氮吹针和单独拆下一个氮吹针的照片或承诺验收时可体现该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bCs w:val="0"/>
                <w:color w:val="auto"/>
                <w:sz w:val="21"/>
                <w:szCs w:val="21"/>
                <w:highlight w:val="auto"/>
              </w:rPr>
              <w:t>2.6</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仪器主体与浓缩管支架独立分开，适合多种规格试管或浓缩管，如2ml GC/LC小瓶、10ml试管、15/50ml离心管、60ml浓缩管等多种规格。使用2ml GC/LC小瓶、10ml试管、15ml和20ml离心管时浓缩位数需不少于32位</w:t>
            </w:r>
            <w:r>
              <w:rPr>
                <w:rFonts w:ascii="宋体" w:eastAsia="宋体" w:cs="宋体" w:hint="eastAsia"/>
                <w:bCs w:val="0"/>
                <w:color w:val="auto"/>
                <w:sz w:val="21"/>
                <w:szCs w:val="21"/>
                <w:lang w:eastAsia="zh-CN"/>
                <w:highlight w:val="auto"/>
              </w:rPr>
              <w:t>；</w:t>
            </w:r>
            <w:r>
              <w:rPr>
                <w:rFonts w:ascii="宋体" w:eastAsia="宋体" w:cs="宋体" w:hint="eastAsia"/>
                <w:b/>
                <w:bCs/>
                <w:color w:val="auto"/>
                <w:sz w:val="21"/>
                <w:szCs w:val="21"/>
                <w:highlight w:val="auto"/>
              </w:rPr>
              <w:t>（提供样本彩页证明或承诺验收时可体现该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val="0"/>
                <w:color w:val="auto"/>
                <w:sz w:val="21"/>
                <w:szCs w:val="21"/>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2.7</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浓缩状态时，上盖自动锁定；打开上盖时，浓缩仪气路自动切断</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bCs w:val="0"/>
                <w:color w:val="auto"/>
                <w:sz w:val="21"/>
                <w:szCs w:val="21"/>
                <w:highlight w:val="auto"/>
              </w:rPr>
              <w:t>2.8</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具有水位超限报警，压力超限报警和过热保护组件</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2.9</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水浴盆采用全身PTFE涂层防腐蚀防生锈工艺</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color w:val="auto"/>
                <w:sz w:val="21"/>
                <w:szCs w:val="21"/>
                <w:highlight w:val="auto"/>
              </w:rPr>
            </w:pPr>
            <w:r>
              <w:rPr>
                <w:rFonts w:ascii="宋体" w:eastAsia="宋体" w:cs="宋体" w:hint="eastAsia"/>
                <w:bCs w:val="0"/>
                <w:color w:val="auto"/>
                <w:sz w:val="21"/>
                <w:szCs w:val="21"/>
                <w:highlight w:val="auto"/>
              </w:rPr>
              <w:t>★2.10、固定式水槽，上翻盖式操作，防止移动式水槽以免运动时引起水浴飞溅；</w:t>
            </w:r>
            <w:r>
              <w:rPr>
                <w:rFonts w:ascii="宋体" w:eastAsia="宋体" w:cs="宋体" w:hint="eastAsia"/>
                <w:b/>
                <w:bCs/>
                <w:color w:val="auto"/>
                <w:sz w:val="21"/>
                <w:szCs w:val="21"/>
                <w:highlight w:val="auto"/>
              </w:rPr>
              <w:t>（提供上翻盖式照片或承诺验收时可体现该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2.11</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快捷排水方式，插上排管水将自动流出，拔下排管自动停止排水</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2系统密封环保，防止溶剂蒸汽外泄；仪器前部开窗，方便观察浓缩过程</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2.13</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人机交互界面，采用触摸彩屏，易于操控。可以通过触控屏随时开始、暂停或停止任意一排氮吹。可以通过本机触屏设置氮吹针下降速度，浓缩时间，氮吹压力等参数，并实时显示加热温度和压力。</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2</w:t>
            </w:r>
          </w:p>
        </w:tc>
        <w:tc>
          <w:tcPr>
            <w:tcW w:w="1730"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b/>
                <w:bCs/>
                <w:color w:val="auto"/>
                <w:kern w:val="0"/>
                <w:sz w:val="21"/>
                <w:szCs w:val="21"/>
                <w:highlight w:val="auto"/>
              </w:rPr>
              <w:t>旋转蒸发仪</w:t>
            </w:r>
            <w:r>
              <w:rPr>
                <w:rFonts w:ascii="宋体" w:hint="eastAsia"/>
                <w:b/>
                <w:bCs/>
                <w:color w:val="auto"/>
                <w:szCs w:val="21"/>
                <w:lang w:val="en-US" w:eastAsia="zh-CN"/>
                <w:highlight w:val="auto"/>
              </w:rPr>
              <w:t>（核心产品）</w:t>
            </w:r>
          </w:p>
        </w:tc>
        <w:tc>
          <w:tcPr>
            <w:tcW w:w="6132" w:type="dxa"/>
          </w:tcPr>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b/>
                <w:color w:val="auto"/>
                <w:kern w:val="0"/>
                <w:sz w:val="21"/>
                <w:szCs w:val="21"/>
                <w:highlight w:val="auto"/>
              </w:rPr>
              <w:t>1、用途：</w:t>
            </w:r>
            <w:r>
              <w:rPr>
                <w:rFonts w:ascii="宋体" w:eastAsia="宋体" w:cs="宋体" w:hint="eastAsia"/>
                <w:color w:val="auto"/>
                <w:sz w:val="21"/>
                <w:szCs w:val="21"/>
                <w:highlight w:val="auto"/>
              </w:rPr>
              <w:t>用于检测样本在真空条件下对液体进行高效蒸发和浓缩处理。可实现真空度等不同的浓缩条件下不少于2个样品的平行蒸发浓缩</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2.1旋蒸主机技术要求</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2.1.1、旋转速度调节范围：≥10~280rpm</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2.1.2、蒸发能力：≥25ml/min水蒸发量</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2.1.3、水浴锅温度调节范围：室温＋5~90℃</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2.1.4、冷凝器：直立式双层盘管  冷却面积大≥0.146m2</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2.1.5、升降器：电动升降</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br/>
              <w:t>2.1.6、冷凝器要求带四通瓶以防止出现蒸汽冷凝液回流，保证分析试料不受污染</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w:t>
            </w:r>
            <w:r>
              <w:rPr>
                <w:rFonts w:ascii="宋体" w:eastAsia="宋体" w:cs="宋体" w:hint="eastAsia"/>
                <w:b/>
                <w:bCs/>
                <w:color w:val="auto"/>
                <w:sz w:val="21"/>
                <w:szCs w:val="21"/>
                <w:lang w:val="en-US" w:eastAsia="zh-CN"/>
                <w:highlight w:val="auto"/>
              </w:rPr>
              <w:t>需提供</w:t>
            </w:r>
            <w:r>
              <w:rPr>
                <w:rFonts w:ascii="宋体" w:eastAsia="宋体" w:cs="宋体" w:hint="eastAsia"/>
                <w:b/>
                <w:bCs/>
                <w:color w:val="auto"/>
                <w:sz w:val="21"/>
                <w:szCs w:val="21"/>
                <w:highlight w:val="auto"/>
              </w:rPr>
              <w:t>四通瓶位置照片的截图等证明材料或承诺验收时可体现该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2.1.7、浴锅容量：≥4.5L</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2.1.8、单个蒸发器外部尺寸宽度不超过550mm，适合两个蒸发器同时放置于1200mm通风柜中</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2.2、真空控制器要求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★2.2.1、控制屏可以通过连接数据线等模块显示并控制压力</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w:t>
            </w:r>
            <w:r>
              <w:rPr>
                <w:rFonts w:ascii="宋体" w:eastAsia="宋体" w:cs="宋体" w:hint="eastAsia"/>
                <w:b/>
                <w:bCs/>
                <w:color w:val="auto"/>
                <w:sz w:val="21"/>
                <w:szCs w:val="21"/>
                <w:lang w:val="en-US" w:eastAsia="zh-CN"/>
                <w:highlight w:val="auto"/>
              </w:rPr>
              <w:t>需提供</w:t>
            </w:r>
            <w:r>
              <w:rPr>
                <w:rFonts w:ascii="宋体" w:eastAsia="宋体" w:cs="宋体" w:hint="eastAsia"/>
                <w:b/>
                <w:bCs/>
                <w:color w:val="auto"/>
                <w:sz w:val="21"/>
                <w:szCs w:val="21"/>
                <w:highlight w:val="auto"/>
              </w:rPr>
              <w:t>控制界面截图灯证明材料或承诺验收时可体现该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2.2.2、压力测定范围：包含0~800mmHg（0~1066mbar)</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▲2.2.3、压力控制模式：定值控制、自动控制、梯度控制、阶段控制四种模式</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2.2.4、自动放气机能和自动清洗机能可单独设定，自动清洗时长可设置或随时中止</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2.2.5、内置存储不少于40种溶媒的浓缩程序随时调用，也可保存经常使用的溶剂浓缩程序，再次使用时可直接调用</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2.2.6、压力控制梯度程序机能，每个梯度程序可以设定99个压力段，并可保存5个梯度程序</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★2.2.7、可自动探测爆沸点并自动调节控制真空度，避免爆沸</w:t>
            </w:r>
            <w:r>
              <w:rPr>
                <w:rFonts w:ascii="宋体" w:eastAsia="宋体" w:cs="宋体" w:hint="eastAsia"/>
                <w:color w:val="auto"/>
                <w:sz w:val="21"/>
                <w:szCs w:val="21"/>
                <w:lang w:val="en-US"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2.3、耐腐蚀隔膜泵要求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2.3.1、真空泵抽气速度高低可调节，配备气振阀</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2.3.2、最高排气量≥30L/min</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2.3.3、极限真空度≤10mbar</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2.4、低温循环装置要求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2.4.1、冷凝循环方式：密闭式循环；    </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★2.4.2、冷凝温度最低温度≤－20℃</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2.4.3、冷冻机功率≥650W</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2.4.4、制冷功率200W（液温－20℃时）；800w（液温0℃时）</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2.4.5、水槽容量不小于10升，循环泵最大流量12L/min、最大扬程9.5m</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2.4.6、可与真空控制器连接，实现联动控制，防止过冷结露</w:t>
            </w:r>
            <w:r>
              <w:rPr>
                <w:rFonts w:ascii="宋体" w:eastAsia="宋体" w:cs="宋体" w:hint="eastAsia"/>
                <w:color w:val="auto"/>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color w:val="auto"/>
                <w:sz w:val="21"/>
                <w:szCs w:val="21"/>
                <w:lang w:val="en-US" w:eastAsia="zh-CN"/>
                <w:highlight w:val="auto"/>
              </w:rPr>
            </w:pPr>
            <w:r>
              <w:rPr>
                <w:rFonts w:ascii="宋体" w:eastAsia="宋体" w:cs="宋体" w:hint="eastAsia"/>
                <w:color w:val="auto"/>
                <w:sz w:val="21"/>
                <w:szCs w:val="21"/>
                <w:lang w:val="en-US" w:eastAsia="zh-CN"/>
                <w:highlight w:val="auto"/>
              </w:rPr>
              <w:t>3</w:t>
            </w:r>
          </w:p>
        </w:tc>
        <w:tc>
          <w:tcPr>
            <w:tcW w:w="1730" w:type="dxa"/>
            <w:shd w:val="clear" w:color="auto" w:fill="auto"/>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b/>
                <w:bCs/>
                <w:color w:val="auto"/>
                <w:kern w:val="2"/>
                <w:sz w:val="21"/>
                <w:szCs w:val="21"/>
                <w:lang w:val="en-US" w:eastAsia="zh-CN" w:bidi="ar-SA"/>
                <w:highlight w:val="auto"/>
              </w:rPr>
            </w:pPr>
            <w:r>
              <w:rPr>
                <w:rFonts w:ascii="宋体" w:eastAsia="宋体" w:cs="宋体" w:hint="eastAsia"/>
                <w:b/>
                <w:bCs/>
                <w:color w:val="auto"/>
                <w:sz w:val="21"/>
                <w:szCs w:val="21"/>
                <w:highlight w:val="auto"/>
              </w:rPr>
              <w:t>旋转蒸发仪</w:t>
            </w:r>
            <w:r>
              <w:rPr>
                <w:rFonts w:ascii="宋体" w:eastAsia="宋体" w:cs="宋体" w:hint="eastAsia"/>
                <w:b/>
                <w:bCs/>
                <w:color w:val="auto"/>
                <w:sz w:val="21"/>
                <w:szCs w:val="21"/>
                <w:lang w:val="en-US" w:eastAsia="zh-CN"/>
                <w:highlight w:val="auto"/>
              </w:rPr>
              <w:t>2</w:t>
            </w:r>
            <w:r>
              <w:rPr>
                <w:rFonts w:ascii="宋体" w:hint="eastAsia"/>
                <w:b/>
                <w:bCs/>
                <w:color w:val="auto"/>
                <w:szCs w:val="21"/>
                <w:lang w:val="en-US" w:eastAsia="zh-CN"/>
                <w:highlight w:val="auto"/>
              </w:rPr>
              <w:t>（核心产品）</w:t>
            </w:r>
          </w:p>
        </w:tc>
        <w:tc>
          <w:tcPr>
            <w:tcW w:w="6132" w:type="dxa"/>
            <w:shd w:val="clear" w:color="auto" w:fill="auto"/>
          </w:tcPr>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color w:val="auto"/>
                <w:kern w:val="0"/>
                <w:sz w:val="21"/>
                <w:szCs w:val="21"/>
                <w:highlight w:val="auto"/>
              </w:rPr>
              <w:t>1、用途：</w:t>
            </w:r>
            <w:r>
              <w:rPr>
                <w:rFonts w:ascii="宋体" w:eastAsia="宋体" w:cs="宋体" w:hint="eastAsia"/>
                <w:color w:val="auto"/>
                <w:kern w:val="0"/>
                <w:sz w:val="21"/>
                <w:szCs w:val="21"/>
                <w:highlight w:val="auto"/>
              </w:rPr>
              <w:t>用于检测样本在真空条件下对液体进行高效蒸发和浓缩处理。</w:t>
            </w:r>
            <w:r>
              <w:rPr>
                <w:rFonts w:ascii="宋体" w:eastAsia="宋体" w:cs="宋体" w:hint="eastAsia"/>
                <w:color w:val="auto"/>
                <w:sz w:val="21"/>
                <w:szCs w:val="21"/>
                <w:highlight w:val="auto"/>
              </w:rPr>
              <w:t>可实现真空度等不同的浓缩条件下不少于2个样品的平行蒸发浓缩</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2.1、旋蒸主机要求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kern w:val="0"/>
                <w:sz w:val="21"/>
                <w:szCs w:val="21"/>
                <w:highlight w:val="auto"/>
              </w:rPr>
              <w:t>.1.1、旋转速度调节范围：≥10~280rpm</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2.1.2、蒸发能力：≥25ml/min水蒸发量</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2.1.3、水浴锅温度调节范围：水浴时，室温＋5~90℃；油浴时，室温＋5~180℃</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2.1.4、冷凝器：直立式双层盘管  冷却面积大≥0.146m</w:t>
            </w:r>
            <w:r>
              <w:rPr>
                <w:rFonts w:ascii="宋体" w:eastAsia="宋体" w:cs="宋体" w:hint="eastAsia"/>
                <w:color w:val="auto"/>
                <w:kern w:val="0"/>
                <w:sz w:val="21"/>
                <w:szCs w:val="21"/>
                <w:vertAlign w:val="superscript"/>
                <w:highlight w:val="auto"/>
              </w:rPr>
              <w:t>2</w:t>
            </w:r>
            <w:r>
              <w:rPr>
                <w:rFonts w:ascii="宋体" w:eastAsia="宋体" w:cs="宋体" w:hint="eastAsia"/>
                <w:color w:val="auto"/>
                <w:kern w:val="0"/>
                <w:sz w:val="21"/>
                <w:szCs w:val="21"/>
                <w:vertAlign w:val="superscript"/>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2.1.5、升降器：电动升降</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br/>
              <w:t>2.1.6、冷凝器要求带四通瓶以防止出现蒸汽冷凝液回流，保证分析试料不受污染</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需提供</w:t>
            </w:r>
            <w:r>
              <w:rPr>
                <w:rFonts w:ascii="宋体" w:eastAsia="宋体" w:cs="宋体" w:hint="eastAsia"/>
                <w:b/>
                <w:bCs/>
                <w:color w:val="auto"/>
                <w:kern w:val="0"/>
                <w:sz w:val="21"/>
                <w:szCs w:val="21"/>
                <w:highlight w:val="auto"/>
              </w:rPr>
              <w:t>四通瓶位置照片的截图灯证明材料</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2.1.7、浴锅容量：≥5L</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2.1.8、单个蒸发器外部尺寸宽度不超过550mm，适合两个蒸发器同时放置于1200mm通风柜中</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2.2、真空控制器要求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2.2.1、控制屏可以通过连接数据线等模块显示并控制压力</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需提供</w:t>
            </w:r>
            <w:r>
              <w:rPr>
                <w:rFonts w:ascii="宋体" w:eastAsia="宋体" w:cs="宋体" w:hint="eastAsia"/>
                <w:b/>
                <w:bCs/>
                <w:color w:val="auto"/>
                <w:kern w:val="0"/>
                <w:sz w:val="21"/>
                <w:szCs w:val="21"/>
                <w:highlight w:val="auto"/>
              </w:rPr>
              <w:t>控制界面截图等证明材料</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、压力测定范围：0～800mmHg、0~1066hPa(mbar)</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▲2.2.3、压力控制模式：定值控制、自动控制、梯度控制、阶段控制四种模式；</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★2.2.4、自动放气机能和自动清洗机能可单独设定，自动清洗时长可设置或随时中止；</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5</w:t>
            </w:r>
            <w:r>
              <w:rPr>
                <w:rFonts w:ascii="宋体" w:eastAsia="宋体" w:cs="宋体" w:hint="eastAsia"/>
                <w:color w:val="auto"/>
                <w:kern w:val="0"/>
                <w:sz w:val="21"/>
                <w:szCs w:val="21"/>
                <w:highlight w:val="auto"/>
              </w:rPr>
              <w:t>、内置存储不少于40种溶媒的浓缩程序随时调用，也可保存/常使用的溶剂浓缩程序，再次使用时可直接调用</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6</w:t>
            </w:r>
            <w:r>
              <w:rPr>
                <w:rFonts w:ascii="宋体" w:eastAsia="宋体" w:cs="宋体" w:hint="eastAsia"/>
                <w:color w:val="auto"/>
                <w:kern w:val="0"/>
                <w:sz w:val="21"/>
                <w:szCs w:val="21"/>
                <w:highlight w:val="auto"/>
              </w:rPr>
              <w:t>、压力控制梯度程序机能，每个梯度程序可以设定99个压力段，并可保存5个梯度程序</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7</w:t>
            </w:r>
            <w:r>
              <w:rPr>
                <w:rFonts w:ascii="宋体" w:eastAsia="宋体" w:cs="宋体" w:hint="eastAsia"/>
                <w:color w:val="auto"/>
                <w:kern w:val="0"/>
                <w:sz w:val="21"/>
                <w:szCs w:val="21"/>
                <w:highlight w:val="auto"/>
              </w:rPr>
              <w:t>、可自动探测</w:t>
            </w:r>
            <w:r>
              <w:rPr>
                <w:rFonts w:ascii="宋体" w:eastAsia="宋体" w:cs="宋体" w:hint="eastAsia"/>
                <w:color w:val="auto"/>
                <w:kern w:val="0"/>
                <w:sz w:val="21"/>
                <w:szCs w:val="21"/>
                <w:lang w:val="en-US" w:eastAsia="zh-CN"/>
                <w:highlight w:val="auto"/>
              </w:rPr>
              <w:t>爆</w:t>
            </w:r>
            <w:r>
              <w:rPr>
                <w:rFonts w:ascii="宋体" w:eastAsia="宋体" w:cs="宋体" w:hint="eastAsia"/>
                <w:color w:val="auto"/>
                <w:kern w:val="0"/>
                <w:sz w:val="21"/>
                <w:szCs w:val="21"/>
                <w:highlight w:val="auto"/>
              </w:rPr>
              <w:t>沸点并自动调节控制真空度，避免</w:t>
            </w:r>
            <w:r>
              <w:rPr>
                <w:rFonts w:ascii="宋体" w:eastAsia="宋体" w:cs="宋体" w:hint="eastAsia"/>
                <w:color w:val="auto"/>
                <w:kern w:val="0"/>
                <w:sz w:val="21"/>
                <w:szCs w:val="21"/>
                <w:lang w:val="en-US" w:eastAsia="zh-CN"/>
                <w:highlight w:val="auto"/>
              </w:rPr>
              <w:t>爆</w:t>
            </w:r>
            <w:r>
              <w:rPr>
                <w:rFonts w:ascii="宋体" w:eastAsia="宋体" w:cs="宋体" w:hint="eastAsia"/>
                <w:color w:val="auto"/>
                <w:kern w:val="0"/>
                <w:sz w:val="21"/>
                <w:szCs w:val="21"/>
                <w:highlight w:val="auto"/>
              </w:rPr>
              <w:t>沸</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2.3、耐腐蚀隔膜泵要求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2.3.1、真空泵抽气速度高低可调节，配备了气振阀</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2.3.2、最高排气量≥30L/min</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2.3.3、极限真空度≤2mbar</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2.4、低温循环装置要求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2.4.1、冷凝循环方式：密闭式循环；   </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2.4.2、冷凝温度最低温度≤－20℃</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2.4.3、冷冻机功率≥650W</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2.4.4、制冷功率200W@－20℃；800w@0℃</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2.4.5、水槽容量不小于15升，循环泵最大流量12L/min、最大扬程9.5m</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highlight w:val="auto"/>
              </w:rPr>
              <w:t>2.4.6、可与真空控制器连接，实现联动控制，防止过冷结露</w:t>
            </w:r>
            <w:r>
              <w:rPr>
                <w:rFonts w:ascii="宋体" w:eastAsia="宋体" w:cs="宋体" w:hint="eastAsia"/>
                <w:color w:val="auto"/>
                <w:kern w:val="0"/>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color w:val="auto"/>
                <w:sz w:val="21"/>
                <w:szCs w:val="21"/>
                <w:lang w:val="en-US" w:eastAsia="zh-CN"/>
                <w:highlight w:val="auto"/>
              </w:rPr>
            </w:pPr>
            <w:r>
              <w:rPr>
                <w:rFonts w:ascii="宋体" w:eastAsia="宋体" w:cs="宋体" w:hint="eastAsia"/>
                <w:color w:val="auto"/>
                <w:sz w:val="21"/>
                <w:szCs w:val="21"/>
                <w:lang w:val="en-US" w:eastAsia="zh-CN"/>
                <w:highlight w:val="auto"/>
              </w:rPr>
              <w:t>4</w:t>
            </w:r>
          </w:p>
        </w:tc>
        <w:tc>
          <w:tcPr>
            <w:tcW w:w="1730"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b/>
                <w:bCs/>
                <w:color w:val="auto"/>
                <w:sz w:val="21"/>
                <w:szCs w:val="21"/>
                <w:highlight w:val="auto"/>
              </w:rPr>
              <w:t>研磨仪</w:t>
            </w:r>
          </w:p>
        </w:tc>
        <w:tc>
          <w:tcPr>
            <w:tcW w:w="6132" w:type="dxa"/>
          </w:tcPr>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b/>
                <w:bCs/>
                <w:color w:val="auto"/>
                <w:sz w:val="21"/>
                <w:szCs w:val="21"/>
                <w:lang w:val="en-US" w:eastAsia="zh-CN"/>
                <w:highlight w:val="auto"/>
              </w:rPr>
              <w:t xml:space="preserve"> </w:t>
            </w:r>
            <w:r>
              <w:rPr>
                <w:rFonts w:ascii="宋体" w:eastAsia="宋体" w:cs="宋体" w:hint="eastAsia"/>
                <w:b/>
                <w:bCs/>
                <w:color w:val="auto"/>
                <w:sz w:val="21"/>
                <w:szCs w:val="21"/>
                <w:highlight w:val="auto"/>
              </w:rPr>
              <w:t>1、用途：</w:t>
            </w:r>
            <w:r>
              <w:rPr>
                <w:rFonts w:ascii="宋体" w:eastAsia="宋体" w:cs="宋体" w:hint="eastAsia"/>
                <w:color w:val="auto"/>
                <w:sz w:val="21"/>
                <w:szCs w:val="21"/>
                <w:highlight w:val="auto"/>
              </w:rPr>
              <w:t>用于食品、农产品、水果、畜产品、水产品中有害物质检测制样。刀式研磨仪可用于对软性、中硬性、韧性、含水、含油等样品的粉碎和均质化</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2.1</w:t>
            </w:r>
            <w:r>
              <w:rPr>
                <w:rFonts w:ascii="宋体" w:eastAsia="宋体" w:cs="宋体" w:hint="eastAsia"/>
                <w:color w:val="auto"/>
                <w:sz w:val="21"/>
                <w:szCs w:val="21"/>
                <w:highlight w:val="auto"/>
              </w:rPr>
              <w:t>. 进样尺寸：</w:t>
            </w:r>
            <w:r>
              <w:rPr>
                <w:rFonts w:ascii="宋体" w:eastAsia="宋体" w:cs="宋体" w:hint="eastAsia"/>
                <w:color w:val="auto"/>
                <w:sz w:val="21"/>
                <w:szCs w:val="21"/>
                <w:lang w:val="en-US" w:eastAsia="zh-CN"/>
                <w:highlight w:val="auto"/>
              </w:rPr>
              <w:t>包含</w:t>
            </w:r>
            <w:r>
              <w:rPr>
                <w:rFonts w:ascii="宋体" w:eastAsia="宋体" w:cs="宋体" w:hint="eastAsia"/>
                <w:color w:val="auto"/>
                <w:sz w:val="21"/>
                <w:szCs w:val="21"/>
                <w:highlight w:val="auto"/>
              </w:rPr>
              <w:t>10-40毫米，最终出样尺寸：小于等于300um</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 转刀有两个刀片，刀片不在一个水平面上，保持一定的间距高度；刀片上具有预切口</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.转刀直径</w:t>
            </w:r>
            <w:r>
              <w:rPr>
                <w:rFonts w:ascii="宋体" w:eastAsia="宋体" w:cs="宋体" w:hint="eastAsia"/>
                <w:color w:val="auto"/>
                <w:sz w:val="21"/>
                <w:szCs w:val="21"/>
                <w:lang w:val="en-US" w:eastAsia="zh-CN"/>
                <w:highlight w:val="auto"/>
              </w:rPr>
              <w:t>≥</w:t>
            </w:r>
            <w:r>
              <w:rPr>
                <w:rFonts w:ascii="宋体" w:eastAsia="宋体" w:cs="宋体" w:hint="eastAsia"/>
                <w:color w:val="auto"/>
                <w:sz w:val="21"/>
                <w:szCs w:val="21"/>
                <w:highlight w:val="auto"/>
              </w:rPr>
              <w:t>118mm ；</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 转速范围：2000-10000rpm，数字显示，转速可调,最高可增加到14000rpm，转速设置无极调速</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5</w:t>
            </w:r>
            <w:r>
              <w:rPr>
                <w:rFonts w:ascii="宋体" w:eastAsia="宋体" w:cs="宋体" w:hint="eastAsia"/>
                <w:color w:val="auto"/>
                <w:sz w:val="21"/>
                <w:szCs w:val="21"/>
                <w:highlight w:val="auto"/>
              </w:rPr>
              <w:t>. 研磨时间设置：1秒至3分钟，数字显示</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6</w:t>
            </w:r>
            <w:r>
              <w:rPr>
                <w:rFonts w:ascii="宋体" w:eastAsia="宋体" w:cs="宋体" w:hint="eastAsia"/>
                <w:color w:val="auto"/>
                <w:sz w:val="21"/>
                <w:szCs w:val="21"/>
                <w:highlight w:val="auto"/>
              </w:rPr>
              <w:t>. 仪器具有电子锁，在控制面板上开启</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7</w:t>
            </w:r>
            <w:r>
              <w:rPr>
                <w:rFonts w:ascii="宋体" w:eastAsia="宋体" w:cs="宋体" w:hint="eastAsia"/>
                <w:color w:val="auto"/>
                <w:sz w:val="21"/>
                <w:szCs w:val="21"/>
                <w:highlight w:val="auto"/>
              </w:rPr>
              <w:t>.样品容积：大于等于700mL</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8</w:t>
            </w:r>
            <w:r>
              <w:rPr>
                <w:rFonts w:ascii="宋体" w:eastAsia="宋体" w:cs="宋体" w:hint="eastAsia"/>
                <w:color w:val="auto"/>
                <w:sz w:val="21"/>
                <w:szCs w:val="21"/>
                <w:highlight w:val="auto"/>
              </w:rPr>
              <w:t>.具有间歇模式和反转模式，最高反转转速大于等于4000 rpm，可低速点动手动操作模式</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9</w:t>
            </w:r>
            <w:r>
              <w:rPr>
                <w:rFonts w:ascii="宋体" w:eastAsia="宋体" w:cs="宋体" w:hint="eastAsia"/>
                <w:color w:val="auto"/>
                <w:sz w:val="21"/>
                <w:szCs w:val="21"/>
                <w:highlight w:val="auto"/>
              </w:rPr>
              <w:t>.可存储大于等于8个常用程序，大于等于4组序列程序,每两个程序可以联动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0</w:t>
            </w:r>
            <w:r>
              <w:rPr>
                <w:rFonts w:ascii="宋体" w:eastAsia="宋体" w:cs="宋体" w:hint="eastAsia"/>
                <w:color w:val="auto"/>
                <w:sz w:val="21"/>
                <w:szCs w:val="21"/>
                <w:highlight w:val="auto"/>
              </w:rPr>
              <w:t xml:space="preserve"> 设备采用</w:t>
            </w:r>
            <w:r>
              <w:rPr>
                <w:rFonts w:ascii="宋体" w:eastAsia="宋体" w:cs="宋体" w:hint="eastAsia"/>
                <w:color w:val="auto"/>
                <w:sz w:val="21"/>
                <w:szCs w:val="21"/>
                <w:lang w:val="en-US" w:eastAsia="zh-CN"/>
                <w:highlight w:val="auto"/>
              </w:rPr>
              <w:t>≥</w:t>
            </w:r>
            <w:r>
              <w:rPr>
                <w:rFonts w:ascii="宋体" w:eastAsia="宋体" w:cs="宋体" w:hint="eastAsia"/>
                <w:color w:val="auto"/>
                <w:sz w:val="21"/>
                <w:szCs w:val="21"/>
                <w:highlight w:val="auto"/>
              </w:rPr>
              <w:t>1000W工业电机，确保高效率持续研磨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1</w:t>
            </w:r>
            <w:r>
              <w:rPr>
                <w:rFonts w:ascii="宋体" w:eastAsia="宋体" w:cs="宋体" w:hint="eastAsia"/>
                <w:color w:val="auto"/>
                <w:sz w:val="21"/>
                <w:szCs w:val="21"/>
                <w:highlight w:val="auto"/>
              </w:rPr>
              <w:t xml:space="preserve"> 触摸屏设计，具有机械旋钮，可在工作状态调整转速</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设备配置重力顶盖用于压缩研磨室空间，</w:t>
            </w:r>
            <w:r>
              <w:rPr>
                <w:rFonts w:ascii="宋体" w:eastAsia="宋体" w:cs="宋体" w:hint="eastAsia"/>
                <w:color w:val="auto"/>
                <w:sz w:val="21"/>
                <w:szCs w:val="21"/>
                <w:lang w:val="en-US" w:eastAsia="zh-CN"/>
                <w:highlight w:val="auto"/>
              </w:rPr>
              <w:t>须</w:t>
            </w:r>
            <w:r>
              <w:rPr>
                <w:rFonts w:ascii="宋体" w:eastAsia="宋体" w:cs="宋体" w:hint="eastAsia"/>
                <w:color w:val="auto"/>
                <w:sz w:val="21"/>
                <w:szCs w:val="21"/>
                <w:highlight w:val="auto"/>
              </w:rPr>
              <w:t>避免样品由于高速旋转的刀头被甩滑而贴于容器的内壁</w:t>
            </w:r>
            <w:r>
              <w:rPr>
                <w:rFonts w:ascii="宋体" w:eastAsia="宋体" w:cs="宋体" w:hint="eastAsia"/>
                <w:color w:val="auto"/>
                <w:sz w:val="21"/>
                <w:szCs w:val="21"/>
                <w:lang w:eastAsia="zh-CN"/>
                <w:highlight w:val="auto"/>
              </w:rPr>
              <w:t>的</w:t>
            </w:r>
            <w:r>
              <w:rPr>
                <w:rFonts w:ascii="宋体" w:eastAsia="宋体" w:cs="宋体" w:hint="eastAsia"/>
                <w:color w:val="auto"/>
                <w:sz w:val="21"/>
                <w:szCs w:val="21"/>
                <w:lang w:val="en-US" w:eastAsia="zh-CN"/>
                <w:highlight w:val="auto"/>
              </w:rPr>
              <w:t>情况</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可</w:t>
            </w:r>
            <w:r>
              <w:rPr>
                <w:rFonts w:ascii="宋体" w:eastAsia="宋体" w:cs="宋体" w:hint="eastAsia"/>
                <w:color w:val="auto"/>
                <w:sz w:val="21"/>
                <w:szCs w:val="21"/>
                <w:highlight w:val="auto"/>
              </w:rPr>
              <w:t>避免样品粉碎不彻底的现象；</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设备配置带有溢流渠的重力顶盖，在处理液体含量极大的样品时使用这种顶盖，能保证液体通过溢流渠被导回研磨室的中心，样品即可反复的切割粉碎，也可避免样品流出</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 xml:space="preserve"> 机体尺寸（宽x高x纵深）：≤400 x 300 x 400 mm，不锈钢杯不得超过0.5kg</w:t>
            </w:r>
            <w:r>
              <w:rPr>
                <w:rFonts w:ascii="宋体" w:eastAsia="宋体" w:cs="宋体" w:hint="eastAsia"/>
                <w:color w:val="auto"/>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color w:val="auto"/>
                <w:sz w:val="21"/>
                <w:szCs w:val="21"/>
                <w:lang w:val="en-US" w:eastAsia="zh-CN"/>
                <w:highlight w:val="auto"/>
              </w:rPr>
            </w:pPr>
            <w:r>
              <w:rPr>
                <w:rFonts w:ascii="宋体" w:eastAsia="宋体" w:cs="宋体" w:hint="eastAsia"/>
                <w:color w:val="auto"/>
                <w:sz w:val="21"/>
                <w:szCs w:val="21"/>
                <w:lang w:val="en-US" w:eastAsia="zh-CN"/>
                <w:highlight w:val="auto"/>
              </w:rPr>
              <w:t>5</w:t>
            </w:r>
          </w:p>
        </w:tc>
        <w:tc>
          <w:tcPr>
            <w:tcW w:w="1730"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凝胶色谱仪</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color w:val="auto"/>
                <w:sz w:val="21"/>
                <w:szCs w:val="21"/>
                <w:lang w:val="en-US" w:eastAsia="zh-CN"/>
                <w:highlight w:val="auto"/>
              </w:rPr>
              <w:t xml:space="preserve"> </w:t>
            </w:r>
            <w:r>
              <w:rPr>
                <w:rFonts w:ascii="宋体" w:eastAsia="宋体" w:cs="宋体" w:hint="eastAsia"/>
                <w:b/>
                <w:color w:val="auto"/>
                <w:sz w:val="21"/>
                <w:szCs w:val="21"/>
                <w:lang w:val="en-US" w:eastAsia="zh-CN"/>
                <w:highlight w:val="auto"/>
              </w:rPr>
              <w:t>1</w:t>
            </w:r>
            <w:r>
              <w:rPr>
                <w:rFonts w:ascii="宋体" w:eastAsia="宋体" w:cs="宋体" w:hint="eastAsia"/>
                <w:b/>
                <w:color w:val="auto"/>
                <w:sz w:val="21"/>
                <w:szCs w:val="21"/>
                <w:lang w:eastAsia="zh-CN"/>
                <w:highlight w:val="auto"/>
              </w:rPr>
              <w:t>、</w:t>
            </w:r>
            <w:r>
              <w:rPr>
                <w:rFonts w:ascii="宋体" w:eastAsia="宋体" w:cs="宋体" w:hint="eastAsia"/>
                <w:b/>
                <w:color w:val="auto"/>
                <w:sz w:val="21"/>
                <w:szCs w:val="21"/>
                <w:highlight w:val="auto"/>
              </w:rPr>
              <w:t>用途</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1.1</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用于食品、油脂等各类复杂样品中痕量、超痕量有机磷、有机氯</w:t>
            </w:r>
            <w:r>
              <w:rPr>
                <w:rFonts w:ascii="宋体" w:eastAsia="宋体" w:cs="宋体" w:hint="eastAsia"/>
                <w:bCs/>
                <w:color w:val="auto"/>
                <w:sz w:val="21"/>
                <w:szCs w:val="21"/>
                <w:highlight w:val="auto"/>
              </w:rPr>
              <w:t>、PAHs、PCBs等</w:t>
            </w:r>
            <w:r>
              <w:rPr>
                <w:rFonts w:ascii="宋体" w:eastAsia="宋体" w:cs="宋体" w:hint="eastAsia"/>
                <w:color w:val="auto"/>
                <w:sz w:val="21"/>
                <w:szCs w:val="21"/>
                <w:highlight w:val="auto"/>
              </w:rPr>
              <w:t>各类有机污染物的分离净化，是适于环境检测、食品检测及生命科学领域，提高分析灵敏度与准确性，延长色谱柱使用寿命的样品前处理系统。</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1.2</w:t>
            </w:r>
            <w:r>
              <w:rPr>
                <w:rFonts w:ascii="宋体" w:eastAsia="宋体" w:cs="宋体" w:hint="eastAsia"/>
                <w:color w:val="auto"/>
                <w:sz w:val="21"/>
                <w:szCs w:val="21"/>
                <w:lang w:eastAsia="zh-CN"/>
                <w:highlight w:val="auto"/>
              </w:rPr>
              <w:t>、</w:t>
            </w:r>
            <w:r>
              <w:rPr>
                <w:rFonts w:ascii="宋体" w:eastAsia="宋体" w:cs="宋体" w:hint="eastAsia"/>
                <w:bCs/>
                <w:color w:val="auto"/>
                <w:sz w:val="21"/>
                <w:szCs w:val="21"/>
                <w:highlight w:val="auto"/>
              </w:rPr>
              <w:t>产品可自动化完成样品进样、分离净化、目标组分收集等系列操作</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净化工作站完成数据采集，数据保存和管理等</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val="en-US" w:eastAsia="zh-CN"/>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eastAsia="zh-CN"/>
                <w:highlight w:val="auto"/>
              </w:rPr>
              <w:t>、</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1、</w:t>
            </w:r>
            <w:r>
              <w:rPr>
                <w:rFonts w:ascii="宋体" w:eastAsia="宋体" w:cs="宋体" w:hint="eastAsia"/>
                <w:b/>
                <w:color w:val="auto"/>
                <w:sz w:val="21"/>
                <w:szCs w:val="21"/>
                <w:highlight w:val="auto"/>
              </w:rPr>
              <w:t>输液泵</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cs="宋体" w:hint="eastAsia"/>
                <w:bCs/>
                <w:sz w:val="24"/>
                <w:highlight w:val="auto"/>
              </w:rPr>
              <w:t>▲2.1.1、最大工作压力不少于3000psi，具有脉冲阻尼器，有效降低压力脉动；双柱塞式，保证流量精准度,有在线柱塞清洗装置。流量范围：0.01-10.000mL/min；流量精度：</w:t>
            </w:r>
            <w:r>
              <w:rPr>
                <w:rFonts w:ascii="Arial" w:cs="Arial" w:hAnsi="Arial"/>
                <w:bCs/>
                <w:sz w:val="24"/>
                <w:highlight w:val="auto"/>
              </w:rPr>
              <w:t>≤</w:t>
            </w:r>
            <w:r>
              <w:rPr>
                <w:rFonts w:ascii="宋体" w:cs="宋体" w:hint="eastAsia"/>
                <w:bCs/>
                <w:sz w:val="24"/>
                <w:highlight w:val="auto"/>
              </w:rPr>
              <w:t>0.8％RSD</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2</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系统配置显示屏不小于7英寸，可直观的观察仪器的运行状态</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2、</w:t>
            </w:r>
            <w:r>
              <w:rPr>
                <w:rFonts w:ascii="宋体" w:eastAsia="宋体" w:cs="宋体" w:hint="eastAsia"/>
                <w:b/>
                <w:color w:val="auto"/>
                <w:sz w:val="21"/>
                <w:szCs w:val="21"/>
                <w:highlight w:val="auto"/>
              </w:rPr>
              <w:t>检测器</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2</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要求配置可调波长紫外检测器， 波长范围：190-600nm；波长准确度：1nm；波长精度：0.2nm</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3、</w:t>
            </w:r>
            <w:r>
              <w:rPr>
                <w:rFonts w:ascii="宋体" w:eastAsia="宋体" w:cs="宋体" w:hint="eastAsia"/>
                <w:b/>
                <w:color w:val="auto"/>
                <w:sz w:val="21"/>
                <w:szCs w:val="21"/>
                <w:highlight w:val="auto"/>
              </w:rPr>
              <w:t>液体管理系统</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3</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10ml精密注射泵，进样重复性±0.1％，具有注射泵量程及其以内体积的完全进样功能，非传统定量环进样</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w:t>
            </w:r>
            <w:r>
              <w:rPr>
                <w:rFonts w:ascii="宋体" w:eastAsia="宋体" w:cs="宋体" w:hint="eastAsia"/>
                <w:b/>
                <w:bCs w:val="0"/>
                <w:color w:val="auto"/>
                <w:sz w:val="21"/>
                <w:szCs w:val="21"/>
                <w:lang w:val="en-US" w:eastAsia="zh-CN"/>
                <w:highlight w:val="auto"/>
              </w:rPr>
              <w:t>需</w:t>
            </w:r>
            <w:r>
              <w:rPr>
                <w:rFonts w:ascii="宋体" w:eastAsia="宋体" w:cs="宋体" w:hint="eastAsia"/>
                <w:b/>
                <w:bCs w:val="0"/>
                <w:color w:val="auto"/>
                <w:sz w:val="21"/>
                <w:szCs w:val="21"/>
                <w:highlight w:val="auto"/>
              </w:rPr>
              <w:t>提供软件设置1、5、10ml体积的软件照片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4</w:t>
            </w:r>
            <w:r>
              <w:rPr>
                <w:rFonts w:ascii="宋体" w:eastAsia="宋体" w:cs="宋体" w:hint="eastAsia"/>
                <w:b/>
                <w:color w:val="auto"/>
                <w:sz w:val="21"/>
                <w:szCs w:val="21"/>
                <w:lang w:eastAsia="zh-CN"/>
                <w:highlight w:val="auto"/>
              </w:rPr>
              <w:t>、</w:t>
            </w:r>
            <w:r>
              <w:rPr>
                <w:rFonts w:ascii="宋体" w:eastAsia="宋体" w:cs="宋体" w:hint="eastAsia"/>
                <w:b/>
                <w:color w:val="auto"/>
                <w:sz w:val="21"/>
                <w:szCs w:val="21"/>
                <w:highlight w:val="auto"/>
              </w:rPr>
              <w:t>高效不锈钢凝胶净化柱</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4</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 xml:space="preserve"> 50/50乙酸乙酯/环己烷（或二氯甲烷）高效不锈钢柱（20×300mm），采用符合EPA标准的Bio-beads S-X3凝胶净化填料70g，中压一次成型技术填装，要求柱效高、平行性好</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4</w:t>
            </w:r>
            <w:r>
              <w:rPr>
                <w:rFonts w:ascii="宋体" w:eastAsia="宋体" w:cs="宋体" w:hint="eastAsia"/>
                <w:bCs/>
                <w:color w:val="auto"/>
                <w:sz w:val="21"/>
                <w:szCs w:val="21"/>
                <w:highlight w:val="auto"/>
              </w:rPr>
              <w:t xml:space="preserve">.2 </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净化能力验证，</w:t>
            </w:r>
            <w:r>
              <w:rPr>
                <w:rFonts w:ascii="宋体" w:eastAsia="宋体" w:cs="宋体" w:hint="eastAsia"/>
                <w:bCs/>
                <w:color w:val="auto"/>
                <w:sz w:val="21"/>
                <w:szCs w:val="21"/>
                <w:lang w:eastAsia="zh-CN"/>
                <w:highlight w:val="auto"/>
              </w:rPr>
              <w:t>可</w:t>
            </w:r>
            <w:r>
              <w:rPr>
                <w:rFonts w:ascii="宋体" w:eastAsia="宋体" w:cs="宋体" w:hint="eastAsia"/>
                <w:bCs/>
                <w:color w:val="auto"/>
                <w:sz w:val="21"/>
                <w:szCs w:val="21"/>
                <w:highlight w:val="auto"/>
              </w:rPr>
              <w:t>同时分离五种校准液：玉米油、邻苯二甲酸酯、甲氧滴滴涕、二萘嵌苯、硫，要求色谱峰分离度应为85%以上，五种校准液净化时间小于25min，溶剂消耗量小于125ml</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w:t>
            </w:r>
            <w:r>
              <w:rPr>
                <w:rFonts w:ascii="宋体" w:eastAsia="宋体" w:cs="宋体" w:hint="eastAsia"/>
                <w:b/>
                <w:bCs w:val="0"/>
                <w:color w:val="auto"/>
                <w:sz w:val="21"/>
                <w:szCs w:val="21"/>
                <w:lang w:val="en-US" w:eastAsia="zh-CN"/>
                <w:highlight w:val="auto"/>
              </w:rPr>
              <w:t>需</w:t>
            </w:r>
            <w:r>
              <w:rPr>
                <w:rFonts w:ascii="宋体" w:eastAsia="宋体" w:cs="宋体" w:hint="eastAsia"/>
                <w:b/>
                <w:bCs w:val="0"/>
                <w:color w:val="auto"/>
                <w:sz w:val="21"/>
                <w:szCs w:val="21"/>
                <w:highlight w:val="auto"/>
              </w:rPr>
              <w:t>要求提供净化谱图或</w:t>
            </w:r>
            <w:r>
              <w:rPr>
                <w:rFonts w:ascii="宋体" w:eastAsia="宋体" w:cs="宋体" w:hint="eastAsia"/>
                <w:b/>
                <w:bCs/>
                <w:color w:val="auto"/>
                <w:sz w:val="21"/>
                <w:szCs w:val="21"/>
                <w:highlight w:val="auto"/>
              </w:rPr>
              <w:t>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5、</w:t>
            </w:r>
            <w:r>
              <w:rPr>
                <w:rFonts w:ascii="宋体" w:eastAsia="宋体" w:cs="宋体" w:hint="eastAsia"/>
                <w:b/>
                <w:color w:val="auto"/>
                <w:sz w:val="21"/>
                <w:szCs w:val="21"/>
                <w:highlight w:val="auto"/>
              </w:rPr>
              <w:t>自动液体进样和收集器</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独立自动进样器和收集器，具有2套XYZ轴机械臂，可以实现样品自动进样和收集；浸入式流动清洗，清洗工作台可对进样针和收集针进行内外壁自动清洗</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w:t>
            </w:r>
            <w:r>
              <w:rPr>
                <w:rFonts w:ascii="宋体" w:eastAsia="宋体" w:cs="宋体" w:hint="eastAsia"/>
                <w:b/>
                <w:bCs w:val="0"/>
                <w:color w:val="auto"/>
                <w:sz w:val="21"/>
                <w:szCs w:val="21"/>
                <w:lang w:val="en-US" w:eastAsia="zh-CN"/>
                <w:highlight w:val="auto"/>
              </w:rPr>
              <w:t>需</w:t>
            </w:r>
            <w:r>
              <w:rPr>
                <w:rFonts w:ascii="宋体" w:eastAsia="宋体" w:cs="宋体" w:hint="eastAsia"/>
                <w:b/>
                <w:bCs w:val="0"/>
                <w:color w:val="auto"/>
                <w:sz w:val="21"/>
                <w:szCs w:val="21"/>
                <w:highlight w:val="auto"/>
              </w:rPr>
              <w:t>提供仪器具有两套自动进样收集器的照片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tabs>
                <w:tab w:val="left" w:pos="988"/>
              </w:tabs>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配置不少于</w:t>
            </w:r>
            <w:r>
              <w:rPr>
                <w:rFonts w:ascii="宋体" w:eastAsia="宋体" w:cs="宋体" w:hint="eastAsia"/>
                <w:color w:val="auto"/>
                <w:sz w:val="21"/>
                <w:szCs w:val="21"/>
                <w:highlight w:val="auto"/>
              </w:rPr>
              <w:t>64位20ml进样架，</w:t>
            </w:r>
            <w:r>
              <w:rPr>
                <w:rFonts w:ascii="宋体" w:eastAsia="宋体" w:cs="宋体" w:hint="eastAsia"/>
                <w:bCs/>
                <w:color w:val="auto"/>
                <w:sz w:val="21"/>
                <w:szCs w:val="21"/>
                <w:highlight w:val="auto"/>
              </w:rPr>
              <w:t>48位60ml收集架，可选多种规格进样和收集架，可接受定制相应的进样/收集瓶架；可以程序设定任意一个进样位置</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 xml:space="preserve"> </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.3</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隔垫穿刺：隔垫穿刺针，上样和收集过程中可支持密闭上样、密闭收集，防止样品挥发</w:t>
            </w:r>
            <w:r>
              <w:rPr>
                <w:rFonts w:ascii="宋体" w:eastAsia="宋体" w:cs="宋体" w:hint="eastAsia"/>
                <w:bCs/>
                <w:color w:val="auto"/>
                <w:sz w:val="21"/>
                <w:szCs w:val="21"/>
                <w:lang w:eastAsia="zh-CN"/>
                <w:highlight w:val="auto"/>
              </w:rPr>
              <w:t>；</w:t>
            </w:r>
          </w:p>
          <w:p>
            <w:pPr>
              <w:keepNext w:val="0"/>
              <w:keepLines w:val="0"/>
              <w:pageBreakBefore w:val="0"/>
              <w:widowControl w:val="0"/>
              <w:tabs>
                <w:tab w:val="left" w:pos="988"/>
              </w:tabs>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.4</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流出物可以根据定时收集、连续收集等收集模式，并分配到不同收集瓶</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6、</w:t>
            </w:r>
            <w:r>
              <w:rPr>
                <w:rFonts w:ascii="宋体" w:eastAsia="宋体" w:cs="宋体" w:hint="eastAsia"/>
                <w:b/>
                <w:color w:val="auto"/>
                <w:sz w:val="21"/>
                <w:szCs w:val="21"/>
                <w:highlight w:val="auto"/>
              </w:rPr>
              <w:t>控制模块</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6</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支持一键开关机，实现一键控制泵、检测器、进样器、收集器以及阀系统的启动以及关闭</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（提供一键开关泵、检测器、进样器、收集器的照片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6</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具有集成通讯控制功能</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7、</w:t>
            </w:r>
            <w:r>
              <w:rPr>
                <w:rFonts w:ascii="宋体" w:eastAsia="宋体" w:cs="宋体" w:hint="eastAsia"/>
                <w:b/>
                <w:color w:val="auto"/>
                <w:sz w:val="21"/>
                <w:szCs w:val="21"/>
                <w:highlight w:val="auto"/>
              </w:rPr>
              <w:t>工作站</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一体式本机触屏控制系统</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可对泵、检测器、进样器及组分收集器进行反控，图形化界面设置。可编辑净化及组分收集程序，可在线控制和在线修改所有参数</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.3</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软件界面实时显示色谱图，具有定时收集、连续收集等收集模式，并分配到设定收集管中，收集管可直接当作浓缩仪的浓缩管直接进行浓缩</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.4</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具有批处理功能，可进行批表编辑、插入、删除、保存、暂停等功能</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ascii="宋体" w:eastAsia="宋体" w:cs="宋体" w:hint="eastAsia"/>
                <w:color w:val="auto"/>
                <w:kern w:val="0"/>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.5</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具有权限管理和数据溯源功能，可设置3个等级权限，用于实验室不同级别人员仪器操作的管理。具有查看日志及生成报告功能，数据可输出到Word或Excel中进一步处理。</w:t>
            </w:r>
          </w:p>
        </w:tc>
      </w:tr>
    </w:tbl>
    <w:p>
      <w:pPr>
        <w:keepNext w:val="0"/>
        <w:keepLines w:val="0"/>
        <w:pageBreakBefore w:val="0"/>
        <w:widowControl w:val="0"/>
        <w:kinsoku/>
        <w:wordWrap/>
        <w:overflowPunct/>
        <w:topLinePunct w:val="0"/>
        <w:autoSpaceDE/>
        <w:autoSpaceDN/>
        <w:bidi w:val="0"/>
        <w:spacing w:line="360" w:lineRule="auto"/>
        <w:textAlignment w:val="auto"/>
        <w:rPr>
          <w:rFonts w:ascii="宋体" w:cs="宋体"/>
          <w:b/>
          <w:color w:val="auto"/>
          <w:szCs w:val="21"/>
          <w:highlight w:val="auto"/>
        </w:rPr>
      </w:pPr>
      <w:r>
        <w:rPr>
          <w:rFonts w:ascii="宋体" w:cs="宋体" w:hint="eastAsia"/>
          <w:b/>
          <w:color w:val="auto"/>
          <w:szCs w:val="21"/>
          <w:highlight w:val="auto"/>
        </w:rPr>
        <w:t>三、服务要求，商务要求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szCs w:val="21"/>
          <w:highlight w:val="auto"/>
        </w:rPr>
        <w:t>1．</w:t>
      </w:r>
      <w:r>
        <w:rPr>
          <w:rFonts w:ascii="宋体" w:eastAsia="宋体" w:cs="宋体" w:hint="eastAsia"/>
          <w:b/>
          <w:bCs/>
          <w:color w:val="auto"/>
          <w:lang w:val="en-US" w:eastAsia="zh-CN"/>
          <w:highlight w:val="auto"/>
        </w:rPr>
        <w:t>交货期</w:t>
      </w:r>
      <w:r>
        <w:rPr>
          <w:rFonts w:ascii="宋体" w:eastAsia="宋体" w:cs="宋体" w:hint="eastAsia"/>
          <w:b/>
          <w:bCs/>
          <w:color w:val="auto"/>
          <w:highlight w:val="auto"/>
        </w:rPr>
        <w:t>：</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交货。如出现未能</w:t>
      </w:r>
      <w:r>
        <w:rPr>
          <w:rFonts w:ascii="宋体" w:cs="宋体" w:hint="eastAsia"/>
          <w:color w:val="auto"/>
          <w:lang w:val="en-US" w:eastAsia="zh-CN"/>
          <w:highlight w:val="auto"/>
        </w:rPr>
        <w:t>按时</w:t>
      </w:r>
      <w:r>
        <w:rPr>
          <w:rFonts w:ascii="宋体" w:eastAsia="宋体" w:cs="宋体" w:hint="eastAsia"/>
          <w:color w:val="auto"/>
          <w:highlight w:val="auto"/>
        </w:rPr>
        <w:t>供货的情况，采购方有权单方终止合同的执行，所有的经济损失由逾期供货商单方承担。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lang w:val="en-US" w:eastAsia="zh-CN"/>
          <w:highlight w:val="auto"/>
        </w:rPr>
      </w:pPr>
      <w:r>
        <w:rPr>
          <w:rFonts w:ascii="宋体" w:cs="宋体" w:hint="eastAsia"/>
          <w:b/>
          <w:bCs/>
          <w:color w:val="auto"/>
          <w:lang w:val="en-US" w:eastAsia="zh-CN"/>
          <w:highlight w:val="auto"/>
        </w:rPr>
        <w:t>2</w:t>
      </w:r>
      <w:r>
        <w:rPr>
          <w:rFonts w:ascii="宋体" w:eastAsia="宋体" w:cs="宋体" w:hint="eastAsia"/>
          <w:b/>
          <w:bCs/>
          <w:color w:val="auto"/>
          <w:highlight w:val="auto"/>
        </w:rPr>
        <w:t>、质保期：</w:t>
      </w:r>
      <w:r>
        <w:rPr>
          <w:rFonts w:ascii="宋体" w:eastAsia="宋体" w:cs="宋体" w:hint="eastAsia"/>
          <w:color w:val="auto"/>
          <w:highlight w:val="auto"/>
        </w:rPr>
        <w:t>验收合格后质保期</w:t>
      </w:r>
      <w:r>
        <w:rPr>
          <w:rFonts w:ascii="宋体" w:cs="宋体" w:hint="eastAsia"/>
          <w:color w:val="auto"/>
          <w:lang w:val="en-US" w:eastAsia="zh-CN"/>
          <w:highlight w:val="auto"/>
        </w:rPr>
        <w:t>2</w:t>
      </w:r>
      <w:r>
        <w:rPr>
          <w:rFonts w:ascii="宋体" w:eastAsia="宋体" w:cs="宋体" w:hint="eastAsia"/>
          <w:color w:val="auto"/>
          <w:highlight w:val="auto"/>
        </w:rPr>
        <w:t>年。在保修期内，所有服务及配件全部免费，保修期外，能够及时地为</w:t>
      </w:r>
      <w:r>
        <w:rPr>
          <w:rFonts w:ascii="宋体" w:cs="宋体" w:hint="eastAsia"/>
          <w:color w:val="auto"/>
          <w:lang w:val="en-US" w:eastAsia="zh-CN"/>
          <w:highlight w:val="auto"/>
        </w:rPr>
        <w:t>采购人</w:t>
      </w:r>
      <w:r>
        <w:rPr>
          <w:rFonts w:ascii="宋体" w:eastAsia="宋体" w:cs="宋体" w:hint="eastAsia"/>
          <w:color w:val="auto"/>
          <w:highlight w:val="auto"/>
        </w:rPr>
        <w:t>提供备品备件。</w:t>
      </w:r>
      <w:r>
        <w:rPr>
          <w:rFonts w:ascii="宋体" w:eastAsia="宋体" w:cs="宋体" w:hint="eastAsia"/>
          <w:color w:val="auto"/>
          <w:lang w:val="en-US" w:eastAsia="zh-CN"/>
          <w:highlight w:val="auto"/>
        </w:rPr>
        <w:t>需要计量的设备，安装一个月内由中标人联系具备资质的机构计量进行计量并出具有效的计量校准报告，计量费用由中标方承担采购人不另行支付。</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、质量保证和售后服务承诺：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lang w:val="en-US" w:eastAsia="zh-CN"/>
          <w:highlight w:val="auto"/>
        </w:rPr>
        <w:t>.1</w:t>
      </w:r>
      <w:r>
        <w:rPr>
          <w:rFonts w:ascii="宋体" w:eastAsia="宋体" w:cs="宋体" w:hint="eastAsia"/>
          <w:b/>
          <w:bCs/>
          <w:color w:val="auto"/>
          <w:highlight w:val="auto"/>
        </w:rPr>
        <w:t>中标供应商应提供质量保证和售后服务承诺书</w:t>
      </w:r>
      <w:r>
        <w:rPr>
          <w:rFonts w:ascii="宋体" w:cs="宋体" w:hint="eastAsia"/>
          <w:b/>
          <w:bCs/>
          <w:color w:val="auto"/>
          <w:lang w:eastAsia="zh-CN"/>
          <w:highlight w:val="auto"/>
        </w:rPr>
        <w:t>：</w:t>
      </w:r>
      <w:r>
        <w:rPr>
          <w:rFonts w:ascii="宋体" w:eastAsia="宋体" w:cs="宋体" w:hint="eastAsia"/>
          <w:color w:val="auto"/>
          <w:highlight w:val="auto"/>
        </w:rPr>
        <w:t>在质量保证期内设备发生故障，中标供应商应免费提供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w:t>
      </w:r>
      <w:r>
        <w:rPr>
          <w:rFonts w:ascii="宋体" w:cs="宋体" w:hint="eastAsia"/>
          <w:color w:val="auto"/>
          <w:lang w:eastAsia="zh-CN"/>
          <w:highlight w:val="auto"/>
        </w:rPr>
        <w:t>采购人</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lang w:val="en-US" w:eastAsia="zh-CN"/>
          <w:highlight w:val="auto"/>
        </w:rPr>
        <w:t>3</w:t>
      </w:r>
      <w:r>
        <w:rPr>
          <w:rFonts w:ascii="宋体" w:eastAsia="宋体" w:cs="宋体" w:hint="eastAsia"/>
          <w:color w:val="auto"/>
          <w:highlight w:val="auto"/>
        </w:rPr>
        <w:t>.2、中标供应商负责将设备运至</w:t>
      </w:r>
      <w:r>
        <w:rPr>
          <w:rFonts w:ascii="宋体" w:cs="宋体" w:hint="eastAsia"/>
          <w:color w:val="auto"/>
          <w:lang w:eastAsia="zh-CN"/>
          <w:highlight w:val="auto"/>
        </w:rPr>
        <w:t>采购人</w:t>
      </w:r>
      <w:r>
        <w:rPr>
          <w:rFonts w:ascii="宋体" w:eastAsia="宋体" w:cs="宋体" w:hint="eastAsia"/>
          <w:color w:val="auto"/>
          <w:highlight w:val="auto"/>
        </w:rPr>
        <w:t>指定的地点，免费负责安装，免费现场培训及技术应用培训。中标价应包含产品的</w:t>
      </w:r>
      <w:r>
        <w:rPr>
          <w:rFonts w:ascii="宋体" w:cs="宋体" w:hint="eastAsia"/>
          <w:color w:val="auto"/>
          <w:lang w:eastAsia="zh-CN"/>
          <w:highlight w:val="auto"/>
        </w:rPr>
        <w:t>制造、材料费（主材及辅材）、运输、安装、验收、检测、保修（保修期内的售后服务）、税收、所有手续费等直至验收合格交付采购人使用的所有相关费用</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.3、安装、调试：</w:t>
      </w:r>
      <w:r>
        <w:rPr>
          <w:rFonts w:ascii="宋体" w:eastAsia="宋体" w:cs="宋体" w:hint="eastAsia"/>
          <w:color w:val="auto"/>
          <w:highlight w:val="auto"/>
        </w:rPr>
        <w:t>货到后，中标供应商负责派技术人员到现场进行安装、调试，直至验收合格，带“▲”的项目必须符合其性能。</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.4、验收：</w:t>
      </w:r>
      <w:r>
        <w:rPr>
          <w:rFonts w:ascii="宋体" w:eastAsia="宋体" w:cs="宋体" w:hint="eastAsia"/>
          <w:color w:val="auto"/>
          <w:highlight w:val="auto"/>
        </w:rPr>
        <w:t>（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w:t>
      </w:r>
      <w:r>
        <w:rPr>
          <w:rFonts w:ascii="宋体" w:cs="宋体" w:hint="eastAsia"/>
          <w:color w:val="auto"/>
          <w:lang w:eastAsia="zh-CN"/>
          <w:highlight w:val="auto"/>
        </w:rPr>
        <w:t>采购人</w:t>
      </w:r>
      <w:r>
        <w:rPr>
          <w:rFonts w:ascii="宋体" w:eastAsia="宋体" w:cs="宋体" w:hint="eastAsia"/>
          <w:color w:val="auto"/>
          <w:highlight w:val="auto"/>
        </w:rPr>
        <w:t>提供完整的设备技术资料、货物制造商的出厂检验报告、合格证书、产品保证书、认证书、及政府许可证明、说明书等，保证产品和安装材料是新生产、未经过使用的原装原厂正品。如在交付使用前发生设备损坏和不合格，</w:t>
      </w:r>
      <w:r>
        <w:rPr>
          <w:rFonts w:ascii="宋体" w:cs="宋体" w:hint="eastAsia"/>
          <w:color w:val="auto"/>
          <w:lang w:eastAsia="zh-CN"/>
          <w:highlight w:val="auto"/>
        </w:rPr>
        <w:t>采购人</w:t>
      </w:r>
      <w:r>
        <w:rPr>
          <w:rFonts w:ascii="宋体" w:eastAsia="宋体" w:cs="宋体" w:hint="eastAsia"/>
          <w:color w:val="auto"/>
          <w:highlight w:val="auto"/>
        </w:rPr>
        <w:t>有权要求退货，因此造成的一切损失由供应商承担。（4）中标供应商根据合同要求进行系统安装、调试后，由</w:t>
      </w:r>
      <w:r>
        <w:rPr>
          <w:rFonts w:ascii="宋体" w:cs="宋体" w:hint="eastAsia"/>
          <w:color w:val="auto"/>
          <w:lang w:eastAsia="zh-CN"/>
          <w:highlight w:val="auto"/>
        </w:rPr>
        <w:t>采购人</w:t>
      </w:r>
      <w:r>
        <w:rPr>
          <w:rFonts w:ascii="宋体" w:eastAsia="宋体" w:cs="宋体" w:hint="eastAsia"/>
          <w:color w:val="auto"/>
          <w:highlight w:val="auto"/>
        </w:rPr>
        <w:t>进行使用性能方面的验收，确保在使用过程内具有满意的性能。如质量不符合要求，供应商应无条件及时更换并不得以任何原因拖延。（5）</w:t>
      </w:r>
      <w:r>
        <w:rPr>
          <w:rFonts w:ascii="宋体" w:cs="宋体" w:hint="eastAsia"/>
          <w:color w:val="auto"/>
          <w:lang w:eastAsia="zh-CN"/>
          <w:highlight w:val="auto"/>
        </w:rPr>
        <w:t>采购人</w:t>
      </w:r>
      <w:r>
        <w:rPr>
          <w:rFonts w:ascii="宋体" w:eastAsia="宋体" w:cs="宋体" w:hint="eastAsia"/>
          <w:color w:val="auto"/>
          <w:highlight w:val="auto"/>
        </w:rPr>
        <w:t>根据招标文件、中标供应商的</w:t>
      </w:r>
      <w:r>
        <w:rPr>
          <w:rFonts w:ascii="宋体" w:eastAsia="宋体" w:cs="宋体" w:hint="eastAsia"/>
          <w:color w:val="auto"/>
          <w:lang w:val="en-US" w:eastAsia="zh-CN"/>
          <w:highlight w:val="auto"/>
        </w:rPr>
        <w:t>投</w:t>
      </w:r>
      <w:r>
        <w:rPr>
          <w:rFonts w:ascii="宋体" w:eastAsia="宋体" w:cs="宋体" w:hint="eastAsia"/>
          <w:color w:val="auto"/>
          <w:highlight w:val="auto"/>
        </w:rPr>
        <w:t>标文件、合同、制造厂商的产品验收标准及中华人民共和国有关标准进行验收。</w:t>
      </w:r>
      <w:r>
        <w:rPr>
          <w:rFonts w:ascii="宋体" w:cs="宋体" w:hint="eastAsia"/>
          <w:color w:val="auto"/>
          <w:lang w:eastAsia="zh-CN"/>
          <w:highlight w:val="auto"/>
        </w:rPr>
        <w:t>采购人</w:t>
      </w:r>
      <w:r>
        <w:rPr>
          <w:rFonts w:ascii="宋体" w:eastAsia="宋体" w:cs="宋体" w:hint="eastAsia"/>
          <w:color w:val="auto"/>
          <w:highlight w:val="auto"/>
        </w:rPr>
        <w:t>有权委托中国具权威资质机构对设备的灵敏度、测量精度等技术性能进行验收。因中标供应商所提供的产品未达到</w:t>
      </w:r>
      <w:r>
        <w:rPr>
          <w:rFonts w:ascii="宋体" w:cs="宋体" w:hint="eastAsia"/>
          <w:b/>
          <w:bCs/>
          <w:color w:val="auto"/>
          <w:spacing w:val="-6"/>
          <w:szCs w:val="21"/>
          <w:lang w:val="en-US" w:eastAsia="zh-CN"/>
          <w:highlight w:val="auto"/>
        </w:rPr>
        <w:t>投标文件偏离表中响应情况不一致时</w:t>
      </w:r>
      <w:r>
        <w:rPr>
          <w:rFonts w:ascii="宋体" w:eastAsia="宋体" w:cs="宋体" w:hint="eastAsia"/>
          <w:color w:val="auto"/>
          <w:highlight w:val="auto"/>
        </w:rPr>
        <w:t>，</w:t>
      </w:r>
      <w:r>
        <w:rPr>
          <w:rFonts w:ascii="宋体" w:cs="宋体" w:hint="eastAsia"/>
          <w:b/>
          <w:bCs/>
          <w:color w:val="auto"/>
          <w:spacing w:val="-6"/>
          <w:szCs w:val="21"/>
          <w:lang w:val="en-US" w:eastAsia="zh-CN"/>
          <w:highlight w:val="auto"/>
        </w:rPr>
        <w:t>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eastAsia="宋体" w:cs="宋体" w:hint="eastAsia"/>
          <w:b/>
          <w:bCs/>
          <w:color w:val="auto"/>
          <w:highlight w:val="auto"/>
        </w:rPr>
        <w:t>，不予付款</w:t>
      </w:r>
      <w:r>
        <w:rPr>
          <w:rFonts w:ascii="宋体" w:cs="宋体" w:hint="eastAsia"/>
          <w:b/>
          <w:bCs/>
          <w:color w:val="auto"/>
          <w:spacing w:val="-6"/>
          <w:szCs w:val="21"/>
          <w:highlight w:val="auto"/>
        </w:rPr>
        <w:t>。</w:t>
      </w:r>
      <w:r>
        <w:rPr>
          <w:rFonts w:ascii="宋体" w:cs="宋体" w:hint="eastAsia"/>
          <w:color w:val="auto"/>
          <w:lang w:eastAsia="zh-CN"/>
          <w:highlight w:val="auto"/>
        </w:rPr>
        <w:t>采购人</w:t>
      </w:r>
      <w:r>
        <w:rPr>
          <w:rFonts w:ascii="宋体" w:eastAsia="宋体" w:cs="宋体" w:hint="eastAsia"/>
          <w:color w:val="auto"/>
          <w:highlight w:val="auto"/>
        </w:rPr>
        <w:t>有权因此终止合同的执行，中标商将自行承担所有经济损失；同时，</w:t>
      </w:r>
      <w:r>
        <w:rPr>
          <w:rFonts w:ascii="宋体" w:cs="宋体" w:hint="eastAsia"/>
          <w:color w:val="auto"/>
          <w:lang w:eastAsia="zh-CN"/>
          <w:highlight w:val="auto"/>
        </w:rPr>
        <w:t>采购人</w:t>
      </w:r>
      <w:r>
        <w:rPr>
          <w:rFonts w:ascii="宋体" w:eastAsia="宋体" w:cs="宋体" w:hint="eastAsia"/>
          <w:color w:val="auto"/>
          <w:highlight w:val="auto"/>
        </w:rPr>
        <w:t>将保留向中标供应商因设备延迟到位而造成对口岸检验业务的不良影响追索相应“违约”责任的权利。</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.5、响应故障处理：</w:t>
      </w:r>
      <w:r>
        <w:rPr>
          <w:rFonts w:ascii="宋体" w:eastAsia="宋体" w:cs="宋体" w:hint="eastAsia"/>
          <w:color w:val="auto"/>
          <w:highlight w:val="auto"/>
        </w:rPr>
        <w:t>中标供应商能响应故障处理请求和电话咨询，提供7x24小时技术支持，4小时内响应和24小时内提出解决方案，一般应在48小时内派人到现场维修的售后服务。中标供应商应提供维保人员名单、联系电话等。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.6、现场培训：</w:t>
      </w:r>
      <w:r>
        <w:rPr>
          <w:rFonts w:ascii="宋体" w:eastAsia="宋体" w:cs="宋体" w:hint="eastAsia"/>
          <w:color w:val="auto"/>
          <w:highlight w:val="auto"/>
        </w:rPr>
        <w:t>制造商应以2人次培训班及现场培训形式对操作人员进行仪器基本操作和维护知识进行免费的培训，保证相关人员能独立上机进行基本操作和数据处理。如有</w:t>
      </w:r>
      <w:r>
        <w:rPr>
          <w:rFonts w:ascii="宋体" w:cs="宋体" w:hint="eastAsia"/>
          <w:color w:val="auto"/>
          <w:lang w:val="en-US" w:eastAsia="zh-CN"/>
          <w:highlight w:val="auto"/>
        </w:rPr>
        <w:t>采购人</w:t>
      </w:r>
      <w:r>
        <w:rPr>
          <w:rFonts w:ascii="宋体" w:eastAsia="宋体" w:cs="宋体" w:hint="eastAsia"/>
          <w:color w:val="auto"/>
          <w:highlight w:val="auto"/>
        </w:rPr>
        <w:t>有因人员流动，需要进行培训，制造商应对</w:t>
      </w:r>
      <w:r>
        <w:rPr>
          <w:rFonts w:ascii="宋体" w:cs="宋体" w:hint="eastAsia"/>
          <w:color w:val="auto"/>
          <w:lang w:val="en-US" w:eastAsia="zh-CN"/>
          <w:highlight w:val="auto"/>
        </w:rPr>
        <w:t>采购人</w:t>
      </w:r>
      <w:r>
        <w:rPr>
          <w:rFonts w:ascii="宋体" w:eastAsia="宋体" w:cs="宋体" w:hint="eastAsia"/>
          <w:color w:val="auto"/>
          <w:highlight w:val="auto"/>
        </w:rPr>
        <w:t>新增实验人员进行免费现场培训。</w:t>
      </w:r>
    </w:p>
    <w:p>
      <w:pPr>
        <w:pStyle w:val="21"/>
        <w:rPr>
          <w:rFonts w:ascii="宋体" w:eastAsia="宋体" w:cs="宋体" w:hint="eastAsia"/>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4、交货地点：</w:t>
      </w:r>
      <w:r>
        <w:rPr>
          <w:rFonts w:ascii="宋体" w:eastAsia="宋体" w:cs="宋体" w:hint="eastAsia"/>
          <w:color w:val="auto"/>
          <w:kern w:val="2"/>
          <w:sz w:val="21"/>
          <w:szCs w:val="24"/>
          <w:lang w:val="en-US" w:eastAsia="zh-CN" w:bidi="ar-SA"/>
          <w:highlight w:val="auto"/>
        </w:rPr>
        <w:t>采购人指定地点。</w:t>
      </w:r>
    </w:p>
    <w:p>
      <w:pPr>
        <w:pStyle w:val="22"/>
        <w:rPr>
          <w:rFonts w:ascii="宋体" w:eastAsia="宋体" w:cs="宋体" w:hint="eastAsia"/>
          <w:b/>
          <w:bCs/>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5、付款条件：</w:t>
      </w:r>
    </w:p>
    <w:p>
      <w:pPr>
        <w:pStyle w:val="22"/>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采购人向中标人的付款计划安排如下</w:t>
      </w:r>
    </w:p>
    <w:p>
      <w:pPr>
        <w:pStyle w:val="22"/>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(1)第一期款：合同生效、具备实施条件且财政资金下达后，支付至合同金额 40%;；</w:t>
      </w:r>
    </w:p>
    <w:p>
      <w:pPr>
        <w:pStyle w:val="22"/>
        <w:rPr>
          <w:rFonts w:ascii="宋体" w:eastAsia="宋体" w:cs="宋体"/>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(2)第二期款：货物到货、验收合格且财政资金下达后，支付至合同金额 100 %;；</w:t>
      </w:r>
    </w:p>
    <w:p>
      <w:pPr>
        <w:spacing w:line="360" w:lineRule="auto"/>
        <w:rPr>
          <w:rFonts w:ascii="宋体" w:cs="宋体"/>
          <w:b/>
          <w:bCs/>
          <w:color w:val="auto"/>
          <w:szCs w:val="21"/>
          <w:highlight w:val="auto"/>
        </w:rPr>
      </w:pPr>
    </w:p>
    <w:p>
      <w:pPr>
        <w:spacing w:line="288" w:lineRule="auto"/>
        <w:jc w:val="left"/>
        <w:rPr>
          <w:rFonts w:ascii="宋体"/>
          <w:b/>
          <w:color w:val="auto"/>
          <w:szCs w:val="21"/>
          <w:highlight w:val="auto"/>
        </w:rPr>
        <w:sectPr>
          <w:headerReference w:type="default" r:id="rId6"/>
          <w:footerReference w:type="default" r:id="rId7"/>
          <w:pgSz w:w="11906" w:h="16838"/>
          <w:pgMar w:top="1588" w:right="1701" w:bottom="1588" w:left="1701" w:header="851" w:footer="992" w:gutter="0"/>
          <w:docGrid w:type="linesAndChars" w:linePitch="380" w:charSpace="0"/>
        </w:sectPr>
      </w:pPr>
      <w:r>
        <w:rPr>
          <w:rFonts w:ascii="宋体" w:cs="宋体" w:hint="eastAsia"/>
          <w:b/>
          <w:color w:val="auto"/>
          <w:szCs w:val="21"/>
          <w:lang w:val="en-US" w:eastAsia="zh-CN"/>
          <w:highlight w:val="auto"/>
        </w:rPr>
        <w:t>注：</w:t>
      </w:r>
      <w:r>
        <w:rPr>
          <w:rFonts w:ascii="宋体" w:cs="宋体" w:hint="eastAsia"/>
          <w:b/>
          <w:color w:val="auto"/>
          <w:szCs w:val="21"/>
          <w:highlight w:val="auto"/>
        </w:rPr>
        <w:t>除招标文件中所明确的技术参数外，欢迎其他能满足本项目技术需求且性能相当于或高于所明确品牌的产品参加响应，同时在需求偏离表中作出详细对比说明。</w:t>
      </w:r>
    </w:p>
    <w:p>
      <w:pPr>
        <w:adjustRightInd w:val="0"/>
        <w:snapToGrid w:val="0"/>
        <w:spacing w:beforeLines="50" w:before="190" w:afterLines="50" w:after="190" w:line="360" w:lineRule="auto"/>
        <w:jc w:val="center"/>
        <w:outlineLvl w:val="0"/>
        <w:rPr>
          <w:rFonts w:ascii="宋体"/>
          <w:color w:val="auto"/>
          <w:sz w:val="28"/>
          <w:szCs w:val="28"/>
          <w:highlight w:val="auto"/>
        </w:rPr>
      </w:pPr>
      <w:bookmarkStart w:id="69" w:name="_Toc21552"/>
      <w:r>
        <w:rPr>
          <w:rFonts w:ascii="宋体" w:hint="eastAsia"/>
          <w:b/>
          <w:color w:val="auto"/>
          <w:sz w:val="32"/>
          <w:szCs w:val="32"/>
          <w:highlight w:val="auto"/>
        </w:rPr>
        <w:t>第五章</w:t>
      </w:r>
      <w:r>
        <w:rPr>
          <w:rFonts w:ascii="宋体"/>
          <w:b/>
          <w:color w:val="auto"/>
          <w:sz w:val="32"/>
          <w:szCs w:val="32"/>
          <w:highlight w:val="auto"/>
        </w:rPr>
        <w:t xml:space="preserve">  </w:t>
      </w:r>
      <w:r>
        <w:rPr>
          <w:rFonts w:ascii="宋体" w:hint="eastAsia"/>
          <w:b/>
          <w:color w:val="auto"/>
          <w:sz w:val="32"/>
          <w:szCs w:val="32"/>
          <w:highlight w:val="auto"/>
        </w:rPr>
        <w:t>评标办法</w:t>
      </w:r>
      <w:bookmarkEnd w:id="66"/>
      <w:bookmarkEnd w:id="67"/>
      <w:bookmarkEnd w:id="68"/>
      <w:bookmarkEnd w:id="69"/>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70" w:name="_Toc468296138"/>
      <w:bookmarkStart w:id="71" w:name="_Toc251566662"/>
      <w:bookmarkStart w:id="72" w:name="_Toc8998"/>
      <w:bookmarkStart w:id="73" w:name="_Toc295465366"/>
      <w:bookmarkStart w:id="74" w:name="_Toc367274988"/>
      <w:bookmarkStart w:id="75" w:name="_Toc249760791"/>
      <w:bookmarkStart w:id="76" w:name="_Toc60757533"/>
      <w:bookmarkStart w:id="77" w:name="_Toc226969359"/>
      <w:bookmarkStart w:id="78" w:name="_Toc107822557"/>
      <w:bookmarkStart w:id="79" w:name="_Toc227057965"/>
      <w:r>
        <w:rPr>
          <w:rFonts w:ascii="宋体" w:eastAsia="宋体" w:cs="宋体" w:hint="eastAsia"/>
          <w:snapToGrid w:val="0"/>
          <w:color w:val="auto"/>
          <w:sz w:val="21"/>
          <w:szCs w:val="21"/>
          <w:highlight w:val="auto"/>
        </w:rPr>
        <w:t>一、总则</w:t>
      </w:r>
      <w:bookmarkEnd w:id="70"/>
      <w:bookmarkEnd w:id="71"/>
      <w:bookmarkEnd w:id="72"/>
      <w:bookmarkEnd w:id="73"/>
      <w:bookmarkEnd w:id="74"/>
      <w:bookmarkEnd w:id="75"/>
      <w:bookmarkEnd w:id="76"/>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供应商接触。</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0" w:name="_Toc367274989"/>
      <w:bookmarkStart w:id="81" w:name="_Toc6463"/>
      <w:bookmarkStart w:id="82" w:name="_Toc60757534"/>
      <w:bookmarkStart w:id="83" w:name="_Toc251566663"/>
      <w:bookmarkStart w:id="84" w:name="_Toc249760792"/>
      <w:bookmarkStart w:id="85" w:name="_Toc295465367"/>
      <w:bookmarkStart w:id="86" w:name="_Toc468296139"/>
      <w:r>
        <w:rPr>
          <w:rFonts w:ascii="宋体" w:eastAsia="宋体" w:cs="宋体" w:hint="eastAsia"/>
          <w:snapToGrid w:val="0"/>
          <w:color w:val="auto"/>
          <w:sz w:val="21"/>
          <w:szCs w:val="21"/>
          <w:highlight w:val="auto"/>
        </w:rPr>
        <w:t>二、评标组织</w:t>
      </w:r>
      <w:bookmarkEnd w:id="80"/>
      <w:bookmarkEnd w:id="81"/>
      <w:bookmarkEnd w:id="82"/>
      <w:bookmarkEnd w:id="83"/>
      <w:bookmarkEnd w:id="84"/>
      <w:bookmarkEnd w:id="85"/>
      <w:bookmarkEnd w:id="86"/>
    </w:p>
    <w:p>
      <w:pPr>
        <w:adjustRightInd w:val="0"/>
        <w:snapToGrid w:val="0"/>
        <w:spacing w:line="360" w:lineRule="auto"/>
        <w:ind w:firstLineChars="200" w:firstLine="420"/>
        <w:jc w:val="left"/>
        <w:rPr>
          <w:rFonts w:ascii="宋体" w:cs="宋体"/>
          <w:snapToGrid w:val="0"/>
          <w:color w:val="auto"/>
          <w:kern w:val="0"/>
          <w:szCs w:val="21"/>
          <w:highlight w:val="auto"/>
        </w:rPr>
      </w:pPr>
      <w:bookmarkStart w:id="87" w:name="_Toc251566664"/>
      <w:bookmarkStart w:id="88" w:name="_Toc249760793"/>
      <w:r>
        <w:rPr>
          <w:rFonts w:ascii="宋体" w:cs="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9" w:name="_Toc60757535"/>
      <w:bookmarkStart w:id="90" w:name="_Toc367274990"/>
      <w:bookmarkStart w:id="91" w:name="_Toc295465368"/>
      <w:bookmarkStart w:id="92" w:name="_Toc11508"/>
      <w:bookmarkStart w:id="93" w:name="_Toc468296140"/>
      <w:r>
        <w:rPr>
          <w:rFonts w:ascii="宋体" w:eastAsia="宋体" w:cs="宋体" w:hint="eastAsia"/>
          <w:snapToGrid w:val="0"/>
          <w:color w:val="auto"/>
          <w:sz w:val="21"/>
          <w:szCs w:val="21"/>
          <w:highlight w:val="auto"/>
        </w:rPr>
        <w:t>三、评标纪律</w:t>
      </w:r>
      <w:bookmarkEnd w:id="87"/>
      <w:bookmarkEnd w:id="88"/>
      <w:bookmarkEnd w:id="89"/>
      <w:bookmarkEnd w:id="90"/>
      <w:bookmarkEnd w:id="91"/>
      <w:bookmarkEnd w:id="92"/>
      <w:bookmarkEnd w:id="93"/>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1．评标是招标工作的重要环节，评标工作在评标委员会内独立进行。评标委员会将按照评标原则的要求，公正、平等地对待所有供应商。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2．所有评标人员应忠于职守、廉洁自律、秉公办事、不徇私情。</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3．评标人员不得接受或参加供应商或与投标有关的单位、组织或个人的有碍公务的宴请、娱乐活动等，不得以任何形式弄虚作假。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4．评标期间，评标人员不得随意出入评标地点、与外界通讯、会客等。</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5．在投标文件的审查、澄清、评价和比较以及授予合同的过程中，供应商对采购人、采购机构人员及评标委员会成员施加影响的任何行为，都将导致被取消投标资格。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6．为保证评标的公正性，在评标过程中，评标委员会成员不得与供应商或与中标结果有利害关系的人进行私下接触。在评标工作结束后，凡与评标情况有接触的任何人，不得将评标情况扩散出评标委员会以外。</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评标过程中，当发表结论性意见时，先听取专家评委意见，用户评委随后发表意见；评标专家对供应商的优劣情况，以及认为差异较大的情况等，应以书面意见作出真实、专业、诚恳负责的表述，不得违背客观、公正的原则。</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8．评标结束后，各评标人员应将全部资料整理上交采购人，严禁将评标过程中的任何资料带出评标现场向供应商或其他单位提供。</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9．在中标结果公布前应对评标委员会成员名单予以保密。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10．评标委员会对各供应商的商业秘密予以保密。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11．评标委员会成员应当客观、公正地履行职责，遵守职业道德，对所提出的评审意见承担个人责任。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12．在整个评标过程中，供应商企图影响招标结果的任何活动，可能导致其投标失败。如有违法行为，将依法追究其法律责任。</w:t>
      </w:r>
    </w:p>
    <w:p>
      <w:pPr>
        <w:pStyle w:val="2"/>
        <w:numPr>
          <w:ilvl w:val="0"/>
          <w:numId w:val="0"/>
        </w:numPr>
        <w:tabs>
          <w:tab w:val="clear" w:pos="425"/>
        </w:tabs>
        <w:snapToGrid w:val="0"/>
        <w:spacing w:before="0" w:after="0" w:line="360" w:lineRule="auto"/>
        <w:rPr>
          <w:rFonts w:ascii="宋体" w:eastAsia="宋体" w:cs="宋体"/>
          <w:b w:val="0"/>
          <w:snapToGrid w:val="0"/>
          <w:color w:val="auto"/>
          <w:sz w:val="21"/>
          <w:szCs w:val="21"/>
          <w:highlight w:val="auto"/>
        </w:rPr>
      </w:pPr>
      <w:bookmarkStart w:id="94" w:name="_Toc367274991"/>
      <w:bookmarkStart w:id="95" w:name="_Toc249760794"/>
      <w:bookmarkStart w:id="96" w:name="_Toc60757536"/>
      <w:bookmarkStart w:id="97" w:name="_Toc295465369"/>
      <w:bookmarkStart w:id="98" w:name="_Toc468296141"/>
      <w:bookmarkStart w:id="99" w:name="_Toc251566665"/>
      <w:bookmarkStart w:id="100" w:name="_Toc29447"/>
      <w:r>
        <w:rPr>
          <w:rFonts w:ascii="宋体" w:eastAsia="宋体" w:cs="宋体" w:hint="eastAsia"/>
          <w:snapToGrid w:val="0"/>
          <w:color w:val="auto"/>
          <w:sz w:val="21"/>
          <w:szCs w:val="21"/>
          <w:highlight w:val="auto"/>
        </w:rPr>
        <w:t>四、评标程序</w:t>
      </w:r>
      <w:bookmarkEnd w:id="94"/>
      <w:bookmarkEnd w:id="95"/>
      <w:bookmarkEnd w:id="96"/>
      <w:bookmarkEnd w:id="97"/>
      <w:bookmarkEnd w:id="98"/>
      <w:bookmarkEnd w:id="99"/>
      <w:bookmarkEnd w:id="100"/>
    </w:p>
    <w:p>
      <w:pPr>
        <w:adjustRightInd w:val="0"/>
        <w:snapToGrid w:val="0"/>
        <w:spacing w:line="360" w:lineRule="auto"/>
        <w:ind w:firstLineChars="200" w:firstLine="420"/>
        <w:rPr>
          <w:rFonts w:ascii="宋体" w:cs="宋体"/>
          <w:snapToGrid w:val="0"/>
          <w:color w:val="auto"/>
          <w:kern w:val="0"/>
          <w:szCs w:val="21"/>
          <w:highlight w:val="auto"/>
        </w:rPr>
      </w:pPr>
      <w:bookmarkEnd w:id="77"/>
      <w:bookmarkEnd w:id="78"/>
      <w:bookmarkEnd w:id="79"/>
      <w:r>
        <w:rPr>
          <w:rFonts w:ascii="宋体" w:cs="宋体" w:hint="eastAsia"/>
          <w:snapToGrid w:val="0"/>
          <w:color w:val="auto"/>
          <w:kern w:val="0"/>
          <w:szCs w:val="21"/>
          <w:highlight w:val="auto"/>
        </w:rPr>
        <w:t>1．本项目采用不公开方式评标，评标的依据为采购文件和投标文件。</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2．熟悉采购文件和评标办法。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3．投标文件的初审。初审分为资格性检查和符合性检查。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（1）资格性检查。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依据法律法规和采购文件的规定，对投标文件中的资格条件等进行审查，以确定供应商是否具备投标资格。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如果投标文件实质上没有响应采购文件的要求，评委会将予以拒绝，供应商不得通过修改或撤销不合要求的偏离或保留而使其投标成为实质性响应的投标。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评委会将允许修正投标文件中不构成重大偏离的、微小的、非正规的、不一致的或不规则的地方，但这些修改不能影响任何供应商相应的名次排列。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4．澄清有关问题。</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期间，为有助于对投标文件的审查、评价和比较，评委会有权要求供应商对其投标文件进行澄清，但并非对每个供应商都做澄清要求。接到评委会澄清要求的供应商应派人安评委会通知的时间和地点作出书面澄清，书面澄清的内容必须由供应商法定代表人或授权代表签署，并作为投标文件的补充部分，但投标价格和实质性的内容不得做任何更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供应商接到评委会或评标委员会授权的评标工作人员的澄清要求或通知的电话后,请尽快赶到通知的指定地点接受澄清</w:t>
      </w:r>
      <w:r>
        <w:rPr>
          <w:rFonts w:ascii="宋体" w:cs="宋体" w:hint="eastAsia"/>
          <w:snapToGrid w:val="0"/>
          <w:color w:val="auto"/>
          <w:kern w:val="0"/>
          <w:szCs w:val="21"/>
          <w:lang w:val="en-US" w:eastAsia="zh-CN"/>
          <w:highlight w:val="auto"/>
        </w:rPr>
        <w:t>或通过邮件形式进行澄清</w:t>
      </w:r>
      <w:r>
        <w:rPr>
          <w:rFonts w:ascii="宋体" w:cs="宋体" w:hint="eastAsia"/>
          <w:snapToGrid w:val="0"/>
          <w:color w:val="auto"/>
          <w:kern w:val="0"/>
          <w:szCs w:val="21"/>
          <w:highlight w:val="auto"/>
        </w:rPr>
        <w:t>,如未能在30分钟之内达到指定地点的</w:t>
      </w:r>
      <w:r>
        <w:rPr>
          <w:rFonts w:ascii="宋体" w:cs="宋体" w:hint="eastAsia"/>
          <w:snapToGrid w:val="0"/>
          <w:color w:val="auto"/>
          <w:kern w:val="0"/>
          <w:szCs w:val="21"/>
          <w:lang w:val="en-US" w:eastAsia="zh-CN"/>
          <w:highlight w:val="auto"/>
        </w:rPr>
        <w:t>或邮件澄清的（澄清内容需由法定代表人或其授权代表签字）</w:t>
      </w:r>
      <w:r>
        <w:rPr>
          <w:rFonts w:ascii="宋体" w:cs="宋体" w:hint="eastAsia"/>
          <w:snapToGrid w:val="0"/>
          <w:color w:val="auto"/>
          <w:kern w:val="0"/>
          <w:szCs w:val="21"/>
          <w:highlight w:val="auto"/>
        </w:rPr>
        <w:t>，视同该供应商自动放弃对投标文件的澄清,评标委员会对此所作的评标结果,其风险由供应商自行承担。</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highlight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lang w:val="en-US" w:eastAsia="zh-CN"/>
          <w:highlight w:val="auto"/>
        </w:rPr>
        <w:t>评标委员会认为</w:t>
      </w:r>
      <w:r>
        <w:rPr>
          <w:rFonts w:ascii="宋体" w:cs="宋体" w:hint="eastAsia"/>
          <w:snapToGrid w:val="0"/>
          <w:color w:val="auto"/>
          <w:kern w:val="0"/>
          <w:szCs w:val="21"/>
          <w:highlight w:val="auto"/>
        </w:rPr>
        <w:t>投标人的报价明显低于其他通过符合性审查投标人的报价，有可能影响产品质量或者不能诚信履约的，应当要求其在评标合理的时间内提供书面说明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不少于30分钟</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，必要时提交相关证明材料;投标人不能证明其报价合理性的，谈判小组应当将其作为无效投标处理。</w:t>
      </w:r>
    </w:p>
    <w:p>
      <w:pPr>
        <w:numPr>
          <w:ilvl w:val="0"/>
          <w:numId w:val="7"/>
        </w:numPr>
        <w:adjustRightInd w:val="0"/>
        <w:snapToGrid w:val="0"/>
        <w:spacing w:line="360" w:lineRule="auto"/>
        <w:ind w:left="0"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highlight w:val="auto"/>
        </w:rPr>
        <w:t>比较与评价。按采购文件中规定的评标方法和标准，对初审检查合格的投标文件进行商务和技术评估，综合比较与评价，并按照评标细则进行打分。</w:t>
      </w:r>
    </w:p>
    <w:p>
      <w:pPr>
        <w:numPr>
          <w:ilvl w:val="0"/>
          <w:numId w:val="7"/>
        </w:numPr>
        <w:adjustRightInd w:val="0"/>
        <w:snapToGrid w:val="0"/>
        <w:spacing w:line="360" w:lineRule="auto"/>
        <w:ind w:left="0"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lang w:val="en-US" w:eastAsia="zh-CN"/>
          <w:highlight w:val="auto"/>
        </w:rPr>
        <w:t>参照</w:t>
      </w:r>
      <w:r>
        <w:rPr>
          <w:rFonts w:ascii="宋体" w:cs="宋体" w:hint="eastAsia"/>
          <w:snapToGrid w:val="0"/>
          <w:color w:val="auto"/>
          <w:kern w:val="0"/>
          <w:szCs w:val="21"/>
          <w:highlight w:val="auto"/>
        </w:rPr>
        <w:t>《中华人民共和国财政部令第74号》第二十七条规定“公开招标的货物、服务采购项目，招标过程中提交投标文件或者经评审实质性响应招标文件要求的供应商只有两家时，采购人、采购代理机构按照本办法第四条经本级财政部门批准后可以与该两家供应商进行竞争性谈判采购，采购人、采购代理机构应当根据招标文件中的采购需求编制谈判文件，成立谈判小组，由谈判小组对谈判文件进行确认。</w:t>
      </w:r>
      <w:r>
        <w:rPr>
          <w:rFonts w:ascii="宋体" w:cs="宋体" w:hint="eastAsia"/>
          <w:snapToGrid w:val="0"/>
          <w:color w:val="auto"/>
          <w:kern w:val="0"/>
          <w:szCs w:val="21"/>
          <w:lang w:val="en-US" w:eastAsia="zh-CN"/>
          <w:highlight w:val="auto"/>
        </w:rPr>
        <w:t>本项目若评审时出现上述情况的则可转为竞争性谈判。</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lang w:val="en-US" w:eastAsia="zh-CN"/>
          <w:highlight w:val="auto"/>
        </w:rPr>
        <w:t>7</w:t>
      </w:r>
      <w:r>
        <w:rPr>
          <w:rFonts w:ascii="宋体" w:cs="宋体" w:hint="eastAsia"/>
          <w:snapToGrid w:val="0"/>
          <w:color w:val="auto"/>
          <w:kern w:val="0"/>
          <w:szCs w:val="21"/>
          <w:highlight w:val="auto"/>
        </w:rPr>
        <w:t>．推荐中标候选人。评标委员会根据评审后的得分由高至低顺序排列，推荐</w:t>
      </w:r>
      <w:r>
        <w:rPr>
          <w:rFonts w:ascii="宋体" w:cs="宋体" w:hint="eastAsia"/>
          <w:snapToGrid w:val="0"/>
          <w:color w:val="auto"/>
          <w:kern w:val="0"/>
          <w:szCs w:val="21"/>
          <w:lang w:val="en-US" w:eastAsia="zh-CN"/>
          <w:highlight w:val="auto"/>
        </w:rPr>
        <w:t>综合排名第一的</w:t>
      </w:r>
      <w:r>
        <w:rPr>
          <w:rFonts w:ascii="宋体" w:cs="宋体" w:hint="eastAsia"/>
          <w:snapToGrid w:val="0"/>
          <w:color w:val="auto"/>
          <w:kern w:val="0"/>
          <w:szCs w:val="21"/>
          <w:highlight w:val="auto"/>
        </w:rPr>
        <w:t>为</w:t>
      </w:r>
      <w:r>
        <w:rPr>
          <w:rFonts w:ascii="宋体" w:cs="宋体" w:hint="eastAsia"/>
          <w:snapToGrid w:val="0"/>
          <w:color w:val="auto"/>
          <w:kern w:val="0"/>
          <w:szCs w:val="21"/>
          <w:lang w:val="en-US" w:eastAsia="zh-CN"/>
          <w:highlight w:val="auto"/>
        </w:rPr>
        <w:t>第一</w:t>
      </w:r>
      <w:r>
        <w:rPr>
          <w:rFonts w:ascii="宋体" w:cs="宋体" w:hint="eastAsia"/>
          <w:snapToGrid w:val="0"/>
          <w:color w:val="auto"/>
          <w:kern w:val="0"/>
          <w:szCs w:val="21"/>
          <w:highlight w:val="auto"/>
        </w:rPr>
        <w:t>中标候选人</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排名第二的为第二中标候选人</w:t>
      </w:r>
      <w:r>
        <w:rPr>
          <w:rFonts w:ascii="宋体" w:cs="宋体" w:hint="eastAsia"/>
          <w:snapToGrid w:val="0"/>
          <w:color w:val="auto"/>
          <w:kern w:val="0"/>
          <w:szCs w:val="21"/>
          <w:highlight w:val="auto"/>
        </w:rPr>
        <w:t>。得分相同的，按投标报价由低到高顺序排列，得分且投标报价相同的，按技术指标优劣顺序排列。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lang w:val="en-US" w:eastAsia="zh-CN"/>
          <w:highlight w:val="auto"/>
        </w:rPr>
        <w:t>8</w:t>
      </w:r>
      <w:r>
        <w:rPr>
          <w:rFonts w:ascii="宋体" w:cs="宋体" w:hint="eastAsia"/>
          <w:snapToGrid w:val="0"/>
          <w:color w:val="auto"/>
          <w:kern w:val="0"/>
          <w:szCs w:val="21"/>
          <w:highlight w:val="auto"/>
        </w:rPr>
        <w:t>．完成评标报告。评标报告是评标委员会根据全体评标成员签字的原始评标记录和评标结果编写的报告，其主要内容包括：</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（1）采购公告刊登的媒体名称、开标日期和地点；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（2）购买采购文件的供应商名单和评标委员会成员名单；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（3）评标方法和标准；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（4）开标记录和评标情况及说明，包括投标无效供应商名单及原因；</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（5）评标结果和中标候选人排序；</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（6）评标委员会的授标建议。</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101" w:name="_Toc249760795"/>
      <w:bookmarkStart w:id="102" w:name="_Toc251566666"/>
      <w:bookmarkStart w:id="103" w:name="_Toc60757537"/>
      <w:bookmarkStart w:id="104" w:name="_Toc367274992"/>
      <w:bookmarkStart w:id="105" w:name="_Toc468296142"/>
      <w:bookmarkStart w:id="106" w:name="_Toc295465370"/>
      <w:bookmarkStart w:id="107" w:name="_Toc13224"/>
      <w:r>
        <w:rPr>
          <w:rFonts w:ascii="宋体" w:eastAsia="宋体" w:cs="宋体" w:hint="eastAsia"/>
          <w:snapToGrid w:val="0"/>
          <w:color w:val="auto"/>
          <w:sz w:val="21"/>
          <w:szCs w:val="21"/>
          <w:highlight w:val="auto"/>
        </w:rPr>
        <w:t>五、评标</w:t>
      </w:r>
      <w:bookmarkEnd w:id="101"/>
      <w:bookmarkEnd w:id="102"/>
      <w:r>
        <w:rPr>
          <w:rFonts w:ascii="宋体" w:eastAsia="宋体" w:cs="宋体" w:hint="eastAsia"/>
          <w:snapToGrid w:val="0"/>
          <w:color w:val="auto"/>
          <w:sz w:val="21"/>
          <w:szCs w:val="21"/>
          <w:highlight w:val="auto"/>
        </w:rPr>
        <w:t>细则及标准</w:t>
      </w:r>
      <w:bookmarkEnd w:id="103"/>
      <w:bookmarkEnd w:id="104"/>
      <w:bookmarkEnd w:id="105"/>
      <w:bookmarkEnd w:id="106"/>
      <w:bookmarkEnd w:id="107"/>
    </w:p>
    <w:p>
      <w:pPr>
        <w:spacing w:beforeLines="50" w:before="190" w:afterLines="50" w:after="190" w:line="360" w:lineRule="auto"/>
        <w:ind w:firstLineChars="196" w:firstLine="412"/>
        <w:rPr>
          <w:rFonts w:ascii="宋体" w:cs="宋体"/>
          <w:color w:val="auto"/>
          <w:szCs w:val="21"/>
          <w:highlight w:val="auto"/>
        </w:rPr>
      </w:pPr>
      <w:r>
        <w:rPr>
          <w:rFonts w:ascii="宋体" w:cs="宋体" w:hint="eastAsia"/>
          <w:bCs/>
          <w:color w:val="auto"/>
          <w:szCs w:val="21"/>
          <w:highlight w:val="auto"/>
        </w:rPr>
        <w:t>1.</w:t>
      </w:r>
      <w:r>
        <w:rPr>
          <w:rFonts w:ascii="宋体" w:cs="宋体" w:hint="eastAsia"/>
          <w:color w:val="auto"/>
          <w:szCs w:val="21"/>
          <w:highlight w:val="auto"/>
        </w:rPr>
        <w:t>商务</w:t>
      </w:r>
      <w:r>
        <w:rPr>
          <w:rFonts w:ascii="宋体" w:cs="宋体" w:hint="eastAsia"/>
          <w:color w:val="auto"/>
          <w:szCs w:val="21"/>
          <w:lang w:val="en-US" w:eastAsia="zh-CN"/>
          <w:highlight w:val="auto"/>
        </w:rPr>
        <w:t>资信</w:t>
      </w:r>
      <w:r>
        <w:rPr>
          <w:rFonts w:ascii="宋体" w:cs="宋体" w:hint="eastAsia"/>
          <w:color w:val="auto"/>
          <w:szCs w:val="21"/>
          <w:highlight w:val="auto"/>
        </w:rPr>
        <w:t>技术</w:t>
      </w:r>
      <w:r>
        <w:rPr>
          <w:rFonts w:ascii="宋体" w:cs="宋体" w:hint="eastAsia"/>
          <w:bCs/>
          <w:color w:val="auto"/>
          <w:szCs w:val="21"/>
          <w:highlight w:val="auto"/>
        </w:rPr>
        <w:t>部分</w:t>
      </w:r>
      <w:r>
        <w:rPr>
          <w:rFonts w:ascii="宋体" w:cs="宋体" w:hint="eastAsia"/>
          <w:color w:val="auto"/>
          <w:szCs w:val="21"/>
          <w:highlight w:val="auto"/>
        </w:rPr>
        <w:t>（</w:t>
      </w:r>
      <w:r>
        <w:rPr>
          <w:rFonts w:ascii="宋体" w:cs="宋体" w:hint="eastAsia"/>
          <w:color w:val="auto"/>
          <w:szCs w:val="21"/>
          <w:u w:val="single"/>
          <w:highlight w:val="auto"/>
        </w:rPr>
        <w:t>70</w:t>
      </w:r>
      <w:r>
        <w:rPr>
          <w:rFonts w:ascii="宋体" w:cs="宋体" w:hint="eastAsia"/>
          <w:color w:val="auto"/>
          <w:szCs w:val="21"/>
          <w:highlight w:val="auto"/>
        </w:rPr>
        <w:t>分）</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70"/>
        <w:gridCol w:w="704"/>
        <w:gridCol w:w="6009"/>
        <w:gridCol w:w="1034"/>
      </w:tblGrid>
      <w:tr>
        <w:trPr>
          <w:trHeight w:val="454"/>
        </w:trPr>
        <w:tc>
          <w:tcPr>
            <w:tcW w:w="556"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评审因素</w:t>
            </w:r>
          </w:p>
        </w:tc>
        <w:tc>
          <w:tcPr>
            <w:tcW w:w="404"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分值</w:t>
            </w:r>
          </w:p>
        </w:tc>
        <w:tc>
          <w:tcPr>
            <w:tcW w:w="3444"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评分细则</w:t>
            </w:r>
          </w:p>
        </w:tc>
        <w:tc>
          <w:tcPr>
            <w:tcW w:w="593"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评审类型</w:t>
            </w:r>
          </w:p>
        </w:tc>
      </w:tr>
      <w:tr>
        <w:trPr>
          <w:trHeight w:val="454"/>
        </w:trPr>
        <w:tc>
          <w:tcPr>
            <w:tcW w:w="4406" w:type="pct"/>
            <w:gridSpan w:val="3"/>
            <w:vAlign w:val="center"/>
          </w:tcPr>
          <w:p>
            <w:pPr>
              <w:pStyle w:val="91"/>
              <w:tabs>
                <w:tab w:val="left" w:pos="1418"/>
              </w:tabs>
              <w:ind w:firstLine="398"/>
              <w:rPr>
                <w:rFonts w:ascii="宋体" w:eastAsia="宋体" w:cs="宋体" w:hint="eastAsia"/>
                <w:bCs/>
                <w:color w:val="auto"/>
                <w:spacing w:val="-6"/>
                <w:sz w:val="21"/>
                <w:szCs w:val="21"/>
                <w:lang w:eastAsia="zh-CN"/>
                <w:highlight w:val="auto"/>
              </w:rPr>
            </w:pPr>
            <w:r>
              <w:rPr>
                <w:rFonts w:ascii="宋体" w:eastAsia="宋体" w:cs="宋体" w:hint="eastAsia"/>
                <w:b/>
                <w:color w:val="auto"/>
                <w:spacing w:val="-6"/>
                <w:sz w:val="21"/>
                <w:szCs w:val="21"/>
                <w:highlight w:val="auto"/>
              </w:rPr>
              <w:t>资信分（8分）</w:t>
            </w:r>
          </w:p>
        </w:tc>
        <w:tc>
          <w:tcPr>
            <w:tcW w:w="593" w:type="pct"/>
            <w:vAlign w:val="center"/>
          </w:tcPr>
          <w:p>
            <w:pPr>
              <w:pStyle w:val="91"/>
              <w:tabs>
                <w:tab w:val="left" w:pos="1418"/>
              </w:tabs>
              <w:ind w:firstLine="398"/>
              <w:rPr>
                <w:rFonts w:ascii="宋体" w:eastAsia="宋体" w:cs="宋体"/>
                <w:b/>
                <w:color w:val="auto"/>
                <w:spacing w:val="-6"/>
                <w:sz w:val="21"/>
                <w:szCs w:val="21"/>
                <w:highlight w:val="auto"/>
              </w:rPr>
            </w:pPr>
          </w:p>
        </w:tc>
      </w:tr>
      <w:tr>
        <w:trPr>
          <w:trHeight w:val="454"/>
        </w:trPr>
        <w:tc>
          <w:tcPr>
            <w:tcW w:w="556" w:type="pct"/>
            <w:vMerge w:val="restart"/>
            <w:vAlign w:val="center"/>
          </w:tcPr>
          <w:p>
            <w:pPr>
              <w:spacing w:line="360" w:lineRule="auto"/>
              <w:jc w:val="center"/>
              <w:rPr>
                <w:rFonts w:ascii="宋体" w:cs="宋体"/>
                <w:color w:val="auto"/>
                <w:szCs w:val="21"/>
                <w:highlight w:val="auto"/>
              </w:rPr>
            </w:pPr>
            <w:r>
              <w:rPr>
                <w:rFonts w:ascii="宋体" w:cs="宋体" w:hint="eastAsia"/>
                <w:color w:val="auto"/>
                <w:kern w:val="0"/>
                <w:szCs w:val="21"/>
                <w:highlight w:val="auto"/>
              </w:rPr>
              <w:t>资信情况8分</w:t>
            </w:r>
          </w:p>
        </w:tc>
        <w:tc>
          <w:tcPr>
            <w:tcW w:w="404"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4"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【客观分】评委对采购清单中的产品（指核心产品）提供相同型号产品自202</w:t>
            </w:r>
            <w:r>
              <w:rPr>
                <w:rFonts w:ascii="宋体" w:cs="宋体" w:hint="eastAsia"/>
                <w:color w:val="auto"/>
                <w:kern w:val="0"/>
                <w:szCs w:val="21"/>
                <w:lang w:val="en-US" w:eastAsia="zh-CN"/>
                <w:highlight w:val="auto"/>
              </w:rPr>
              <w:t>2</w:t>
            </w:r>
            <w:r>
              <w:rPr>
                <w:rFonts w:ascii="宋体" w:cs="宋体" w:hint="eastAsia"/>
                <w:color w:val="auto"/>
                <w:kern w:val="0"/>
                <w:szCs w:val="21"/>
                <w:highlight w:val="auto"/>
              </w:rPr>
              <w:t>年</w:t>
            </w:r>
            <w:r>
              <w:rPr>
                <w:rFonts w:ascii="宋体" w:cs="宋体" w:hint="eastAsia"/>
                <w:color w:val="auto"/>
                <w:kern w:val="0"/>
                <w:szCs w:val="21"/>
                <w:lang w:val="en-US" w:eastAsia="zh-CN"/>
                <w:highlight w:val="auto"/>
              </w:rPr>
              <w:t>9</w:t>
            </w:r>
            <w:r>
              <w:rPr>
                <w:rFonts w:ascii="宋体" w:cs="宋体" w:hint="eastAsia"/>
                <w:color w:val="auto"/>
                <w:kern w:val="0"/>
                <w:szCs w:val="21"/>
                <w:highlight w:val="auto"/>
              </w:rPr>
              <w:t xml:space="preserve">月1日起（以合同签定时间为准）与不同的最终用户签订的销售合同评分，每提供一个合同复印件得0.5分，最高3分。 </w:t>
            </w:r>
          </w:p>
          <w:p>
            <w:pPr>
              <w:widowControl/>
              <w:spacing w:line="360" w:lineRule="auto"/>
              <w:jc w:val="left"/>
              <w:textAlignment w:val="center"/>
              <w:rPr>
                <w:rFonts w:ascii="宋体" w:cs="宋体" w:hint="eastAsia"/>
                <w:color w:val="auto"/>
                <w:kern w:val="0"/>
                <w:szCs w:val="21"/>
                <w:highlight w:val="auto"/>
              </w:rPr>
            </w:pPr>
            <w:r>
              <w:rPr>
                <w:rFonts w:ascii="宋体" w:cs="宋体" w:hint="eastAsia"/>
                <w:color w:val="auto"/>
                <w:kern w:val="0"/>
                <w:szCs w:val="21"/>
                <w:highlight w:val="auto"/>
              </w:rPr>
              <w:t>注：供应商须提供该业绩项目的</w:t>
            </w:r>
            <w:r>
              <w:rPr>
                <w:rFonts w:ascii="宋体" w:cs="宋体" w:hint="eastAsia"/>
                <w:b/>
                <w:bCs/>
                <w:color w:val="auto"/>
                <w:kern w:val="0"/>
                <w:szCs w:val="21"/>
                <w:highlight w:val="auto"/>
              </w:rPr>
              <w:t>采购合同文本复印件并加盖公章（合同中需明确反应评审内容：如时间、设备名称、型号等得分项内容</w:t>
            </w: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核心设备若多余1台的则均需提供，否则不得分</w:t>
            </w:r>
            <w:r>
              <w:rPr>
                <w:rFonts w:ascii="宋体" w:cs="宋体" w:hint="eastAsia"/>
                <w:b/>
                <w:bCs/>
                <w:color w:val="auto"/>
                <w:kern w:val="0"/>
                <w:szCs w:val="21"/>
                <w:highlight w:val="auto"/>
              </w:rPr>
              <w:t>）</w:t>
            </w:r>
            <w:r>
              <w:rPr>
                <w:rFonts w:ascii="宋体" w:cs="宋体" w:hint="eastAsia"/>
                <w:color w:val="auto"/>
                <w:kern w:val="0"/>
                <w:szCs w:val="21"/>
                <w:highlight w:val="auto"/>
              </w:rPr>
              <w:t>。</w:t>
            </w:r>
          </w:p>
          <w:p>
            <w:pPr>
              <w:widowControl/>
              <w:spacing w:line="360" w:lineRule="auto"/>
              <w:jc w:val="left"/>
              <w:textAlignment w:val="center"/>
              <w:rPr>
                <w:rFonts w:ascii="宋体" w:cs="宋体" w:hint="eastAsia"/>
                <w:color w:val="auto"/>
                <w:kern w:val="0"/>
                <w:szCs w:val="21"/>
                <w:highlight w:val="auto"/>
              </w:rPr>
            </w:pPr>
            <w:r>
              <w:rPr>
                <w:rFonts w:hint="eastAsia"/>
                <w:color w:val="auto"/>
                <w:highlight w:val="auto"/>
              </w:rPr>
              <w:t>投标产品</w:t>
            </w:r>
            <w:r>
              <w:rPr>
                <w:rFonts w:ascii="宋体" w:cs="宋体" w:hint="eastAsia"/>
                <w:color w:val="auto"/>
                <w:kern w:val="0"/>
                <w:szCs w:val="21"/>
                <w:highlight w:val="auto"/>
              </w:rPr>
              <w:t>（指核心产品）提供相同型号产品</w:t>
            </w:r>
            <w:r>
              <w:rPr>
                <w:rFonts w:hint="eastAsia"/>
                <w:color w:val="auto"/>
                <w:highlight w:val="auto"/>
              </w:rPr>
              <w:t>为省级以上主管部门认定的首台套产品，自纳入《省推广应用指导目录》起三年内参加政府采购活动，视同已具备相应销售业绩，本项得满分。</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4"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4"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【客观分】评委对供应商或所投产品制造商（指核心产品）具备质量管理体系认证、职业健康安全管理体系认证、环境管理体系认证且在有效期内的得每个得1分。本项最高得3分。</w:t>
            </w:r>
            <w:r>
              <w:rPr>
                <w:rFonts w:ascii="宋体" w:cs="宋体" w:hint="eastAsia"/>
                <w:b/>
                <w:bCs/>
                <w:color w:val="auto"/>
                <w:kern w:val="0"/>
                <w:szCs w:val="21"/>
                <w:highlight w:val="auto"/>
              </w:rPr>
              <w:t>（有效证明材料为认证证书复印件及在全国认证认可信息公共服务平台（http://cx.cnca.cn/）查询的截图，两者缺一不可，否则不得分，加盖公章</w:t>
            </w: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核心设备若多余1台的则均需提供，否则不得分</w:t>
            </w:r>
            <w:r>
              <w:rPr>
                <w:rFonts w:ascii="宋体" w:cs="宋体" w:hint="eastAsia"/>
                <w:b/>
                <w:bCs/>
                <w:color w:val="auto"/>
                <w:kern w:val="0"/>
                <w:szCs w:val="21"/>
                <w:highlight w:val="auto"/>
              </w:rPr>
              <w:t>）</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4"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2</w:t>
            </w:r>
          </w:p>
        </w:tc>
        <w:tc>
          <w:tcPr>
            <w:tcW w:w="3444"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质保期满足采购文件要求的，免费每延长1年加1分（含软硬件），最多加2分</w:t>
            </w:r>
            <w:r>
              <w:rPr>
                <w:rFonts w:ascii="宋体" w:cs="宋体" w:hint="eastAsia"/>
                <w:b/>
                <w:bCs/>
                <w:color w:val="auto"/>
                <w:kern w:val="0"/>
                <w:szCs w:val="21"/>
                <w:highlight w:val="auto"/>
              </w:rPr>
              <w:t>（含多台设备的则每台设备均需按评分点延长，若仅延长一</w:t>
            </w:r>
            <w:r>
              <w:rPr>
                <w:rFonts w:ascii="宋体" w:cs="宋体" w:hint="eastAsia"/>
                <w:b/>
                <w:bCs/>
                <w:color w:val="auto"/>
                <w:kern w:val="0"/>
                <w:szCs w:val="21"/>
                <w:lang w:val="en-US" w:eastAsia="zh-CN"/>
                <w:highlight w:val="auto"/>
              </w:rPr>
              <w:t>台</w:t>
            </w:r>
            <w:r>
              <w:rPr>
                <w:rFonts w:ascii="宋体" w:cs="宋体" w:hint="eastAsia"/>
                <w:b/>
                <w:bCs/>
                <w:color w:val="auto"/>
                <w:kern w:val="0"/>
                <w:szCs w:val="21"/>
                <w:highlight w:val="auto"/>
              </w:rPr>
              <w:t>设备的或某一设备延长时间不符合得分点的则该项均不得分）（延长时间不足1年的不计入加分，以承诺形式提供（承诺格式自拟），承诺内容将作为合同内容的一部分）</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4406" w:type="pct"/>
            <w:gridSpan w:val="3"/>
            <w:vAlign w:val="center"/>
          </w:tcPr>
          <w:p>
            <w:pPr>
              <w:pStyle w:val="24"/>
              <w:spacing w:line="360" w:lineRule="auto"/>
              <w:ind w:left="0"/>
              <w:jc w:val="center"/>
              <w:rPr>
                <w:rFonts w:ascii="宋体" w:eastAsia="宋体" w:cs="宋体"/>
                <w:color w:val="auto"/>
                <w:spacing w:val="-6"/>
                <w:sz w:val="21"/>
                <w:szCs w:val="21"/>
                <w:highlight w:val="auto"/>
              </w:rPr>
            </w:pPr>
            <w:r>
              <w:rPr>
                <w:rFonts w:ascii="宋体" w:eastAsia="宋体" w:cs="宋体" w:hint="eastAsia"/>
                <w:b/>
                <w:bCs/>
                <w:color w:val="auto"/>
                <w:spacing w:val="-6"/>
                <w:sz w:val="21"/>
                <w:szCs w:val="21"/>
                <w:highlight w:val="auto"/>
              </w:rPr>
              <w:t>技术分（62分）</w:t>
            </w:r>
          </w:p>
        </w:tc>
        <w:tc>
          <w:tcPr>
            <w:tcW w:w="593" w:type="pct"/>
            <w:vAlign w:val="center"/>
          </w:tcPr>
          <w:p>
            <w:pPr>
              <w:pStyle w:val="24"/>
              <w:spacing w:line="360" w:lineRule="auto"/>
              <w:ind w:left="0"/>
              <w:jc w:val="center"/>
              <w:rPr>
                <w:rFonts w:ascii="宋体" w:eastAsia="宋体" w:cs="宋体"/>
                <w:b/>
                <w:bCs/>
                <w:color w:val="auto"/>
                <w:spacing w:val="-6"/>
                <w:sz w:val="21"/>
                <w:szCs w:val="21"/>
                <w:highlight w:val="auto"/>
              </w:rPr>
            </w:pPr>
          </w:p>
        </w:tc>
      </w:tr>
      <w:tr>
        <w:trPr>
          <w:trHeight w:val="454"/>
        </w:trPr>
        <w:tc>
          <w:tcPr>
            <w:tcW w:w="556" w:type="pct"/>
            <w:vMerge w:val="restart"/>
            <w:vAlign w:val="center"/>
          </w:tcPr>
          <w:p>
            <w:pPr>
              <w:spacing w:line="360" w:lineRule="auto"/>
              <w:rPr>
                <w:rFonts w:ascii="宋体" w:cs="宋体"/>
                <w:color w:val="auto"/>
                <w:spacing w:val="-6"/>
                <w:szCs w:val="21"/>
                <w:highlight w:val="auto"/>
              </w:rPr>
            </w:pPr>
            <w:r>
              <w:rPr>
                <w:rFonts w:ascii="宋体" w:cs="宋体" w:hint="eastAsia"/>
                <w:color w:val="auto"/>
                <w:szCs w:val="21"/>
                <w:highlight w:val="auto"/>
              </w:rPr>
              <w:t>产品的响应程度（</w:t>
            </w:r>
            <w:r>
              <w:rPr>
                <w:rFonts w:ascii="宋体" w:cs="宋体" w:hint="eastAsia"/>
                <w:color w:val="auto"/>
                <w:szCs w:val="21"/>
                <w:lang w:val="en-US" w:eastAsia="zh-CN"/>
                <w:highlight w:val="auto"/>
              </w:rPr>
              <w:t>32.4</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16.2</w:t>
            </w:r>
          </w:p>
        </w:tc>
        <w:tc>
          <w:tcPr>
            <w:tcW w:w="3444"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的符合度，每一条带“★”条款不满足采购文件要求扣</w:t>
            </w:r>
            <w:r>
              <w:rPr>
                <w:rFonts w:ascii="宋体" w:cs="宋体" w:hint="eastAsia"/>
                <w:color w:val="auto"/>
                <w:szCs w:val="21"/>
                <w:lang w:val="en-US" w:eastAsia="zh-CN"/>
                <w:highlight w:val="auto"/>
              </w:rPr>
              <w:t>0.6</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93"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4" w:type="pct"/>
            <w:vAlign w:val="center"/>
          </w:tcPr>
          <w:p>
            <w:pPr>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16.2</w:t>
            </w:r>
          </w:p>
        </w:tc>
        <w:tc>
          <w:tcPr>
            <w:tcW w:w="3444"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的符合度，每一条未带“★”条款不满足采购文件要求扣0.</w:t>
            </w:r>
            <w:r>
              <w:rPr>
                <w:rFonts w:ascii="宋体" w:cs="宋体" w:hint="eastAsia"/>
                <w:color w:val="auto"/>
                <w:szCs w:val="21"/>
                <w:lang w:val="en-US" w:eastAsia="zh-CN"/>
                <w:highlight w:val="auto"/>
              </w:rPr>
              <w:t>27</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93"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产品总体性能及质量水平（</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投标设备的总体技术性能及质量水平，包括设备性能先进程度、设备的特点、设备的质量水平、设备的操作说明；使用效果等。分值（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产品总体性能及质量水平的详细描述。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产品的可操作性和可维护性（</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投标设备的可操作性和可维护性：投标设备的稳定性，可操作性，维护简便程度等。分值（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产品的可操作性和可维护性的相关描述（可包含在产品总体性能及配置的描述中）。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供货、安装、调试计划（</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投标人拟定的供货、安装、调试计划科学、合理，技术力量充足。分值（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供货、安装、调试计划。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培训方案（</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cs="宋体"/>
                <w:color w:val="auto"/>
                <w:spacing w:val="-6"/>
                <w:szCs w:val="21"/>
                <w:lang w:val="en-US"/>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投标人拟定的培训方案（包括培训内容、课时、培训工程师资质能力）分值（</w:t>
            </w:r>
            <w:r>
              <w:rPr>
                <w:rFonts w:ascii="宋体" w:cs="宋体" w:hint="eastAsia"/>
                <w:color w:val="auto"/>
                <w:szCs w:val="21"/>
                <w:lang w:val="en-US" w:eastAsia="zh-CN"/>
                <w:highlight w:val="auto"/>
              </w:rPr>
              <w:t>5.0</w:t>
            </w:r>
            <w:r>
              <w:rPr>
                <w:rFonts w:ascii="宋体" w:cs="宋体" w:hint="eastAsia"/>
                <w:color w:val="auto"/>
                <w:szCs w:val="21"/>
                <w:highlight w:val="auto"/>
              </w:rPr>
              <w:t>、</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培训方案。</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restar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售后服务（</w:t>
            </w:r>
            <w:r>
              <w:rPr>
                <w:rFonts w:ascii="宋体" w:cs="宋体" w:hint="eastAsia"/>
                <w:color w:val="auto"/>
                <w:szCs w:val="21"/>
                <w:lang w:val="en-US" w:eastAsia="zh-CN"/>
                <w:highlight w:val="auto"/>
              </w:rPr>
              <w:t>9.6</w:t>
            </w:r>
            <w:r>
              <w:rPr>
                <w:rFonts w:ascii="宋体" w:cs="宋体" w:hint="eastAsia"/>
                <w:color w:val="auto"/>
                <w:szCs w:val="21"/>
                <w:highlight w:val="auto"/>
              </w:rPr>
              <w:t>分）</w:t>
            </w:r>
          </w:p>
        </w:tc>
        <w:tc>
          <w:tcPr>
            <w:tcW w:w="404" w:type="pct"/>
            <w:vAlign w:val="center"/>
          </w:tcPr>
          <w:p>
            <w:pPr>
              <w:widowControl/>
              <w:spacing w:line="360" w:lineRule="auto"/>
              <w:jc w:val="center"/>
              <w:rPr>
                <w:rFonts w:ascii="宋体" w:cs="宋体"/>
                <w:color w:val="auto"/>
                <w:szCs w:val="21"/>
                <w:highlight w:val="auto"/>
              </w:rPr>
            </w:pPr>
            <w:r>
              <w:rPr>
                <w:rFonts w:ascii="宋体" w:cs="宋体" w:hint="eastAsia"/>
                <w:color w:val="auto"/>
                <w:szCs w:val="21"/>
                <w:lang w:val="en-US" w:eastAsia="zh-CN"/>
                <w:highlight w:val="auto"/>
              </w:rPr>
              <w:t>4.5</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售后服务方案。包括但不限于满足服务响应时间的实施措施、故障解决方案、服务承诺的可行性、完整性以及服务承诺落实的保障措施，质保期内外的后续技术支持和维护能力情况。分值（</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售后服务方案。</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ign w:val="center"/>
          </w:tcPr>
          <w:p/>
        </w:tc>
        <w:tc>
          <w:tcPr>
            <w:tcW w:w="404"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3.1</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售后服务机构技术服务人员情况。分值（</w:t>
            </w:r>
            <w:r>
              <w:rPr>
                <w:rFonts w:ascii="宋体" w:cs="宋体" w:hint="eastAsia"/>
                <w:color w:val="auto"/>
                <w:szCs w:val="21"/>
                <w:lang w:val="en-US" w:eastAsia="zh-CN"/>
                <w:highlight w:val="auto"/>
              </w:rPr>
              <w:t>3.1、2.8</w:t>
            </w:r>
            <w:r>
              <w:rPr>
                <w:rFonts w:ascii="宋体" w:cs="宋体" w:hint="eastAsia"/>
                <w:color w:val="auto"/>
                <w:szCs w:val="21"/>
                <w:highlight w:val="auto"/>
              </w:rPr>
              <w:t>、2.5、2.0、1.5、1.0、0.5、0）。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技术服务人员姓名、工作经验、资质证书。</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ign w:val="center"/>
          </w:tcPr>
          <w:p/>
        </w:tc>
        <w:tc>
          <w:tcPr>
            <w:tcW w:w="404"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2.0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投标人提供的备品备件情况，包括主要零部件及易耗件清单（规格、型号、价格）、质保期满后维护费、软件升级及其关服务内容。分值（</w:t>
            </w:r>
            <w:r>
              <w:rPr>
                <w:rFonts w:ascii="宋体" w:cs="宋体" w:hint="eastAsia"/>
                <w:color w:val="auto"/>
                <w:szCs w:val="21"/>
                <w:lang w:val="en-US" w:eastAsia="zh-CN"/>
                <w:highlight w:val="auto"/>
              </w:rPr>
              <w:t>2.0</w:t>
            </w:r>
            <w:r>
              <w:rPr>
                <w:rFonts w:ascii="宋体" w:cs="宋体" w:hint="eastAsia"/>
                <w:color w:val="auto"/>
                <w:szCs w:val="21"/>
                <w:highlight w:val="auto"/>
              </w:rPr>
              <w:t>、1.</w:t>
            </w:r>
            <w:r>
              <w:rPr>
                <w:rFonts w:ascii="宋体" w:cs="宋体" w:hint="eastAsia"/>
                <w:color w:val="auto"/>
                <w:szCs w:val="21"/>
                <w:lang w:val="en-US" w:eastAsia="zh-CN"/>
                <w:highlight w:val="auto"/>
              </w:rPr>
              <w:t>5</w:t>
            </w:r>
            <w:r>
              <w:rPr>
                <w:rFonts w:ascii="宋体" w:cs="宋体" w:hint="eastAsia"/>
                <w:color w:val="auto"/>
                <w:szCs w:val="21"/>
                <w:highlight w:val="auto"/>
              </w:rPr>
              <w:t>、</w:t>
            </w:r>
            <w:r>
              <w:rPr>
                <w:rFonts w:ascii="宋体" w:cs="宋体" w:hint="eastAsia"/>
                <w:color w:val="auto"/>
                <w:szCs w:val="21"/>
                <w:lang w:val="en-US" w:eastAsia="zh-CN"/>
                <w:highlight w:val="auto"/>
              </w:rPr>
              <w:t>1.0、</w:t>
            </w:r>
            <w:r>
              <w:rPr>
                <w:rFonts w:ascii="宋体" w:cs="宋体" w:hint="eastAsia"/>
                <w:color w:val="auto"/>
                <w:szCs w:val="21"/>
                <w:highlight w:val="auto"/>
              </w:rPr>
              <w:t>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备品备件清单说明及质保期满后的服务内容。</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bl>
    <w:p>
      <w:pPr>
        <w:snapToGrid w:val="0"/>
        <w:spacing w:line="360" w:lineRule="auto"/>
        <w:ind w:firstLineChars="200" w:firstLine="420"/>
        <w:rPr>
          <w:rFonts w:ascii="宋体" w:cs="宋体"/>
          <w:color w:val="auto"/>
          <w:szCs w:val="21"/>
          <w:highlight w:val="auto"/>
        </w:rPr>
      </w:pP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2.</w:t>
      </w:r>
      <w:r>
        <w:rPr>
          <w:rFonts w:ascii="宋体" w:cs="宋体" w:hint="eastAsia"/>
          <w:b/>
          <w:bCs/>
          <w:color w:val="auto"/>
          <w:szCs w:val="21"/>
          <w:highlight w:val="auto"/>
        </w:rPr>
        <w:t>报价部分（满分30分）</w:t>
      </w:r>
      <w:r>
        <w:rPr>
          <w:rFonts w:ascii="宋体" w:cs="宋体" w:hint="eastAsia"/>
          <w:b/>
          <w:bCs/>
          <w:color w:val="auto"/>
          <w:szCs w:val="21"/>
          <w:lang w:val="en-US" w:eastAsia="zh-CN"/>
          <w:highlight w:val="auto"/>
        </w:rPr>
        <w:t>适用于</w:t>
      </w:r>
      <w:r>
        <w:rPr>
          <w:rFonts w:ascii="宋体" w:cs="宋体" w:hint="eastAsia"/>
          <w:color w:val="auto"/>
          <w:szCs w:val="21"/>
          <w:highlight w:val="auto"/>
        </w:rPr>
        <w:t>各供应商的投标报价得分统一采用低价优先法计算，即满足采购文件要求且投标报价最低的报价为评标基准价，其价格分为满分。其他供应商的商务报价得分统一按照下列公式计算：</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投标报价得分=（评标基准价/投标报价）×价格权值（即</w:t>
      </w:r>
      <w:r>
        <w:rPr>
          <w:rFonts w:ascii="宋体" w:cs="宋体" w:hint="eastAsia"/>
          <w:color w:val="auto"/>
          <w:szCs w:val="21"/>
          <w:u w:val="single"/>
          <w:highlight w:val="auto"/>
        </w:rPr>
        <w:t>30</w:t>
      </w:r>
      <w:r>
        <w:rPr>
          <w:rFonts w:ascii="宋体" w:cs="宋体" w:hint="eastAsia"/>
          <w:color w:val="auto"/>
          <w:szCs w:val="21"/>
          <w:highlight w:val="auto"/>
        </w:rPr>
        <w:t>%）×100</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关于价格分计算的说明：</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价格抵扣政策见前附表</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lang w:val="en-US" w:eastAsia="zh-CN"/>
          <w:highlight w:val="auto"/>
        </w:rPr>
        <w:t>如有</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highlight w:val="auto"/>
        </w:rPr>
        <w:t>。</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备注：</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技术资信部分由评标委员会详细评议后，每人一份评分表，进行独自评分并签名。在统计得分时，如发现某一单项评分超过评分细则规定的分值范围，则该张评分表无效。供应商技术资信部分的得分为评标委员会各成员的有效评分的算术平均值；</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价格部分由评标委员会详细评议后，按评分细则进行统一评分。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技术资信评分时保留小数点后1位小数，计算评分值时保留小数点后2位小数，由评标委员会当场统一计算。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供应商的最终总得分为技术资信及报价部分得分的总和。</w:t>
      </w:r>
    </w:p>
    <w:p>
      <w:pPr>
        <w:tabs>
          <w:tab w:val="left" w:pos="735"/>
        </w:tabs>
        <w:adjustRightInd w:val="0"/>
        <w:snapToGrid w:val="0"/>
        <w:spacing w:line="360" w:lineRule="auto"/>
        <w:ind w:firstLineChars="200" w:firstLine="420"/>
        <w:rPr>
          <w:rFonts w:ascii="宋体" w:cs="宋体"/>
          <w:b/>
          <w:snapToGrid w:val="0"/>
          <w:color w:val="auto"/>
          <w:kern w:val="0"/>
          <w:szCs w:val="21"/>
          <w:highlight w:val="auto"/>
        </w:rPr>
      </w:pP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r>
        <w:rPr>
          <w:rFonts w:ascii="宋体" w:cs="宋体" w:hint="eastAsia"/>
          <w:b/>
          <w:snapToGrid w:val="0"/>
          <w:color w:val="auto"/>
          <w:kern w:val="0"/>
          <w:szCs w:val="21"/>
          <w:highlight w:val="auto"/>
        </w:rPr>
        <w:t>。</w:t>
      </w:r>
    </w:p>
    <w:p>
      <w:pPr>
        <w:tabs>
          <w:tab w:val="left" w:pos="709"/>
        </w:tabs>
        <w:adjustRightInd w:val="0"/>
        <w:snapToGrid w:val="0"/>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报价是中标的一个重要因素，但最低报价不是中标的唯一依据。</w:t>
      </w:r>
    </w:p>
    <w:p>
      <w:pPr>
        <w:tabs>
          <w:tab w:val="left" w:pos="709"/>
        </w:tabs>
        <w:adjustRightInd w:val="0"/>
        <w:snapToGrid w:val="0"/>
        <w:spacing w:line="360" w:lineRule="auto"/>
        <w:ind w:firstLineChars="200" w:firstLine="480"/>
        <w:jc w:val="left"/>
        <w:rPr>
          <w:rFonts w:ascii="宋体"/>
          <w:bCs/>
          <w:color w:val="auto"/>
          <w:sz w:val="24"/>
          <w:highlight w:val="auto"/>
        </w:rPr>
      </w:pPr>
    </w:p>
    <w:p>
      <w:pPr>
        <w:tabs>
          <w:tab w:val="left" w:pos="709"/>
        </w:tabs>
        <w:adjustRightInd w:val="0"/>
        <w:snapToGrid w:val="0"/>
        <w:spacing w:line="360" w:lineRule="auto"/>
        <w:ind w:firstLineChars="200" w:firstLine="480"/>
        <w:rPr>
          <w:rFonts w:ascii="宋体"/>
          <w:color w:val="auto"/>
          <w:sz w:val="24"/>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08" w:name="_Toc60757538"/>
      <w:bookmarkStart w:id="109" w:name="_Toc13806"/>
      <w:r>
        <w:rPr>
          <w:rFonts w:ascii="宋体" w:hint="eastAsia"/>
          <w:b/>
          <w:color w:val="auto"/>
          <w:sz w:val="32"/>
          <w:szCs w:val="32"/>
          <w:highlight w:val="auto"/>
        </w:rPr>
        <w:t>第六章</w:t>
      </w:r>
      <w:r>
        <w:rPr>
          <w:rFonts w:ascii="宋体"/>
          <w:b/>
          <w:color w:val="auto"/>
          <w:sz w:val="32"/>
          <w:szCs w:val="32"/>
          <w:highlight w:val="auto"/>
        </w:rPr>
        <w:t xml:space="preserve">  </w:t>
      </w:r>
      <w:r>
        <w:rPr>
          <w:rFonts w:ascii="宋体" w:hint="eastAsia"/>
          <w:b/>
          <w:color w:val="auto"/>
          <w:sz w:val="32"/>
          <w:szCs w:val="32"/>
          <w:highlight w:val="auto"/>
        </w:rPr>
        <w:t>投标文件格式</w:t>
      </w:r>
      <w:bookmarkEnd w:id="108"/>
      <w:bookmarkEnd w:id="109"/>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hint="eastAsia"/>
          <w:color w:val="auto"/>
          <w:szCs w:val="21"/>
          <w:highlight w:val="auto"/>
        </w:rPr>
        <w:t>说明：</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1</w:t>
      </w:r>
      <w:r>
        <w:rPr>
          <w:rFonts w:ascii="宋体" w:hint="eastAsia"/>
          <w:color w:val="auto"/>
          <w:szCs w:val="21"/>
          <w:highlight w:val="auto"/>
        </w:rPr>
        <w:t>．投标文件由供应商根据照采购文件要求参照附件格式编制。</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．供应商根据实际情况，格式的字体、编排，表格的内容可以做适当调整。</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3</w:t>
      </w:r>
      <w:r>
        <w:rPr>
          <w:rFonts w:ascii="宋体" w:hint="eastAsia"/>
          <w:color w:val="auto"/>
          <w:szCs w:val="21"/>
          <w:highlight w:val="auto"/>
        </w:rPr>
        <w:t>．采购文件中没有参考格式的，供应商自行编制。</w:t>
      </w: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rPr>
          <w:rFonts w:ascii="宋体"/>
          <w:color w:val="auto"/>
          <w:sz w:val="24"/>
          <w:highlight w:val="auto"/>
        </w:rPr>
        <w:sectPr>
          <w:footerReference w:type="default" r:id="rId8"/>
          <w:footerReference w:type="even" r:id="rId9"/>
          <w:pgSz w:w="11906" w:h="16838"/>
          <w:pgMar w:top="1588" w:right="1701" w:bottom="1588" w:left="1701" w:header="851" w:footer="992" w:gutter="0"/>
          <w:docGrid w:type="linesAndChars" w:linePitch="380" w:charSpace="0"/>
        </w:sectPr>
      </w:pPr>
    </w:p>
    <w:p>
      <w:pPr>
        <w:pStyle w:val="2"/>
        <w:numPr>
          <w:ilvl w:val="0"/>
          <w:numId w:val="0"/>
        </w:numPr>
        <w:tabs>
          <w:tab w:val="clear" w:pos="425"/>
        </w:tabs>
        <w:adjustRightInd w:val="0"/>
        <w:snapToGrid w:val="0"/>
        <w:spacing w:beforeLines="50" w:before="190" w:after="0" w:line="360" w:lineRule="auto"/>
        <w:rPr>
          <w:rFonts w:ascii="宋体" w:eastAsia="宋体"/>
          <w:color w:val="auto"/>
          <w:sz w:val="24"/>
          <w:szCs w:val="24"/>
          <w:highlight w:val="auto"/>
        </w:rPr>
      </w:pPr>
      <w:bookmarkStart w:id="110" w:name="_Toc60757539"/>
      <w:bookmarkStart w:id="111" w:name="_Toc468296144"/>
      <w:bookmarkStart w:id="112" w:name="_Toc368993656"/>
      <w:bookmarkStart w:id="113" w:name="_Toc371002588"/>
      <w:bookmarkStart w:id="114" w:name="_Toc11406"/>
      <w:r>
        <w:rPr>
          <w:rFonts w:ascii="宋体" w:eastAsia="宋体"/>
          <w:color w:val="auto"/>
          <w:sz w:val="24"/>
          <w:szCs w:val="24"/>
          <w:highlight w:val="auto"/>
        </w:rPr>
        <w:t>6.1</w:t>
      </w:r>
      <w:r>
        <w:rPr>
          <w:rFonts w:ascii="宋体" w:eastAsia="宋体" w:hint="eastAsia"/>
          <w:color w:val="auto"/>
          <w:sz w:val="24"/>
          <w:szCs w:val="24"/>
          <w:highlight w:val="auto"/>
        </w:rPr>
        <w:t>投标文件封面</w:t>
      </w:r>
      <w:bookmarkEnd w:id="110"/>
      <w:bookmarkEnd w:id="111"/>
      <w:bookmarkEnd w:id="112"/>
      <w:bookmarkEnd w:id="113"/>
      <w:bookmarkEnd w:id="114"/>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spacing w:line="360" w:lineRule="auto"/>
        <w:jc w:val="center"/>
        <w:rPr>
          <w:rFonts w:ascii="宋体"/>
          <w:color w:val="auto"/>
          <w:sz w:val="24"/>
          <w:highlight w:val="auto"/>
        </w:rPr>
      </w:pPr>
      <w:r>
        <w:rPr>
          <w:rFonts w:ascii="宋体" w:hint="eastAsia"/>
          <w:color w:val="auto"/>
          <w:sz w:val="24"/>
          <w:highlight w:val="auto"/>
        </w:rPr>
        <w:t>项目名称</w:t>
      </w:r>
      <w:r>
        <w:rPr>
          <w:rFonts w:ascii="宋体"/>
          <w:color w:val="auto"/>
          <w:sz w:val="24"/>
          <w:highlight w:val="auto"/>
        </w:rPr>
        <w:t>:______________</w:t>
      </w:r>
    </w:p>
    <w:p>
      <w:pPr>
        <w:spacing w:line="360" w:lineRule="auto"/>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52"/>
          <w:szCs w:val="52"/>
          <w:highlight w:val="auto"/>
        </w:rPr>
      </w:pPr>
    </w:p>
    <w:p>
      <w:pPr>
        <w:spacing w:after="120"/>
        <w:jc w:val="center"/>
        <w:rPr>
          <w:rFonts w:ascii="宋体" w:hint="eastAsia"/>
          <w:b/>
          <w:color w:val="auto"/>
          <w:sz w:val="52"/>
          <w:szCs w:val="52"/>
          <w:highlight w:val="auto"/>
        </w:rPr>
      </w:pPr>
      <w:r>
        <w:rPr>
          <w:rFonts w:ascii="宋体" w:hint="eastAsia"/>
          <w:b/>
          <w:color w:val="auto"/>
          <w:sz w:val="52"/>
          <w:szCs w:val="52"/>
          <w:highlight w:val="auto"/>
        </w:rPr>
        <w:t>投标文件</w:t>
      </w:r>
    </w:p>
    <w:p>
      <w:pPr>
        <w:pStyle w:val="2"/>
        <w:numPr>
          <w:ilvl w:val="0"/>
          <w:numId w:val="0"/>
        </w:numPr>
        <w:tabs>
          <w:tab w:val="clear" w:pos="425"/>
        </w:tabs>
        <w:rPr>
          <w:rFonts w:ascii="宋体" w:eastAsia="宋体" w:cs="Times New Roman" w:hint="eastAsia"/>
          <w:b/>
          <w:color w:val="auto"/>
          <w:kern w:val="2"/>
          <w:sz w:val="44"/>
          <w:szCs w:val="44"/>
          <w:lang w:val="en-US" w:eastAsia="zh-CN" w:bidi="ar-SA"/>
          <w:highlight w:val="auto"/>
        </w:rPr>
      </w:pPr>
      <w:r>
        <w:rPr>
          <w:rFonts w:ascii="宋体" w:eastAsia="宋体" w:cs="Times New Roman" w:hint="eastAsia"/>
          <w:b/>
          <w:color w:val="auto"/>
          <w:kern w:val="2"/>
          <w:sz w:val="44"/>
          <w:szCs w:val="44"/>
          <w:lang w:val="en-US" w:eastAsia="zh-CN" w:bidi="ar-SA"/>
          <w:highlight w:val="auto"/>
        </w:rPr>
        <w:t>（资格文件/商务技术文件/报价文件）</w:t>
      </w: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color w:val="auto"/>
          <w:sz w:val="24"/>
          <w:highlight w:val="auto"/>
        </w:rPr>
      </w:pPr>
      <w:r>
        <w:rPr>
          <w:rFonts w:ascii="宋体" w:hint="eastAsia"/>
          <w:color w:val="auto"/>
          <w:sz w:val="24"/>
          <w:highlight w:val="auto"/>
        </w:rPr>
        <w:t>供应商：</w:t>
      </w:r>
      <w:r>
        <w:rPr>
          <w:rFonts w:ascii="宋体"/>
          <w:color w:val="auto"/>
          <w:sz w:val="24"/>
          <w:u w:val="single"/>
          <w:highlight w:val="auto"/>
        </w:rPr>
        <w:t xml:space="preserve">                    </w:t>
      </w:r>
      <w:r>
        <w:rPr>
          <w:rFonts w:ascii="宋体" w:hint="eastAsia"/>
          <w:color w:val="auto"/>
          <w:sz w:val="24"/>
          <w:highlight w:val="auto"/>
        </w:rPr>
        <w:t>（盖单位章）</w:t>
      </w:r>
    </w:p>
    <w:p>
      <w:pPr>
        <w:spacing w:after="120"/>
        <w:jc w:val="center"/>
        <w:rPr>
          <w:rFonts w:ascii="宋体"/>
          <w:color w:val="auto"/>
          <w:sz w:val="24"/>
          <w:u w:val="single"/>
          <w:highlight w:val="auto"/>
        </w:rPr>
      </w:pPr>
      <w:r>
        <w:rPr>
          <w:rFonts w:ascii="宋体" w:hint="eastAsia"/>
          <w:color w:val="auto"/>
          <w:sz w:val="24"/>
          <w:highlight w:val="auto"/>
        </w:rPr>
        <w:t>法定代表人或其委托代理人：</w:t>
      </w:r>
      <w:r>
        <w:rPr>
          <w:rFonts w:ascii="宋体"/>
          <w:color w:val="auto"/>
          <w:sz w:val="24"/>
          <w:u w:val="single"/>
          <w:highlight w:val="auto"/>
        </w:rPr>
        <w:t xml:space="preserve">     </w:t>
      </w:r>
      <w:r>
        <w:rPr>
          <w:rFonts w:ascii="宋体" w:hint="eastAsia"/>
          <w:color w:val="auto"/>
          <w:sz w:val="24"/>
          <w:highlight w:val="auto"/>
        </w:rPr>
        <w:t>（签字或盖章）</w:t>
      </w:r>
    </w:p>
    <w:p>
      <w:pPr>
        <w:spacing w:after="120"/>
        <w:ind w:firstLine="210"/>
        <w:jc w:val="center"/>
        <w:rPr>
          <w:rFonts w:ascii="宋体"/>
          <w:color w:val="auto"/>
          <w:sz w:val="24"/>
          <w:highlight w:val="auto"/>
        </w:rPr>
      </w:pPr>
      <w:r>
        <w:rPr>
          <w:rFonts w:ascii="宋体"/>
          <w:color w:val="auto"/>
          <w:sz w:val="24"/>
          <w:highlight w:val="auto"/>
        </w:rPr>
        <w:t xml:space="preserve">___ </w:t>
      </w:r>
      <w:r>
        <w:rPr>
          <w:rFonts w:ascii="宋体" w:hint="eastAsia"/>
          <w:color w:val="auto"/>
          <w:sz w:val="24"/>
          <w:highlight w:val="auto"/>
        </w:rPr>
        <w:t>年</w:t>
      </w:r>
      <w:r>
        <w:rPr>
          <w:rFonts w:ascii="宋体"/>
          <w:color w:val="auto"/>
          <w:sz w:val="24"/>
          <w:u w:val="single"/>
          <w:highlight w:val="auto"/>
        </w:rPr>
        <w:t xml:space="preserve">   </w:t>
      </w:r>
      <w:r>
        <w:rPr>
          <w:rFonts w:ascii="宋体" w:hint="eastAsia"/>
          <w:color w:val="auto"/>
          <w:sz w:val="24"/>
          <w:highlight w:val="auto"/>
        </w:rPr>
        <w:t>月</w:t>
      </w:r>
      <w:r>
        <w:rPr>
          <w:rFonts w:ascii="宋体"/>
          <w:color w:val="auto"/>
          <w:sz w:val="24"/>
          <w:u w:val="single"/>
          <w:highlight w:val="auto"/>
        </w:rPr>
        <w:t xml:space="preserve">   </w:t>
      </w:r>
      <w:r>
        <w:rPr>
          <w:rFonts w:ascii="宋体" w:hint="eastAsia"/>
          <w:color w:val="auto"/>
          <w:sz w:val="24"/>
          <w:highlight w:val="auto"/>
        </w:rPr>
        <w:t>日</w:t>
      </w:r>
    </w:p>
    <w:p>
      <w:pPr>
        <w:spacing w:after="120"/>
        <w:ind w:firstLine="210"/>
        <w:jc w:val="center"/>
        <w:rPr>
          <w:rFonts w:ascii="宋体"/>
          <w:color w:val="auto"/>
          <w:sz w:val="24"/>
          <w:highlight w:val="auto"/>
        </w:rPr>
      </w:pPr>
    </w:p>
    <w:p>
      <w:pPr>
        <w:rPr>
          <w:color w:val="auto"/>
          <w:highlight w:val="auto"/>
        </w:rPr>
      </w:pPr>
      <w:bookmarkStart w:id="115" w:name="_Toc368993657"/>
      <w:bookmarkStart w:id="116" w:name="_Toc227057966"/>
      <w:bookmarkStart w:id="117" w:name="_Toc107822558"/>
      <w:bookmarkStart w:id="118" w:name="_Toc371002589"/>
      <w:bookmarkStart w:id="119" w:name="_Toc488655907"/>
      <w:bookmarkStart w:id="120" w:name="_Toc226969360"/>
    </w:p>
    <w:p>
      <w:pPr>
        <w:rPr>
          <w:color w:val="auto"/>
          <w:highlight w:val="auto"/>
        </w:rPr>
        <w:sectPr>
          <w:footerReference w:type="default" r:id="rId10"/>
          <w:footerReference w:type="even" r:id="rId11"/>
          <w:pgSz w:w="11906" w:h="16838"/>
          <w:pgMar w:top="1588" w:right="1701" w:bottom="1588" w:left="1701" w:header="851" w:footer="992" w:gutter="0"/>
          <w:docGrid w:type="linesAndChars" w:linePitch="380" w:charSpace="0"/>
        </w:sectPr>
      </w:pPr>
    </w:p>
    <w:p>
      <w:pPr>
        <w:rPr>
          <w:color w:val="auto"/>
          <w:highlight w:val="auto"/>
        </w:rPr>
      </w:pPr>
    </w:p>
    <w:p>
      <w:pPr>
        <w:spacing w:line="360" w:lineRule="auto"/>
        <w:ind w:rightChars="20" w:right="42" w:firstLineChars="200" w:firstLine="420"/>
        <w:jc w:val="left"/>
        <w:rPr>
          <w:rFonts w:ascii="宋体" w:eastAsia="宋体"/>
          <w:b/>
          <w:color w:val="auto"/>
          <w:szCs w:val="21"/>
          <w:highlight w:val="auto"/>
        </w:rPr>
      </w:pPr>
      <w:bookmarkStart w:id="121" w:name="_Toc60757540"/>
      <w:bookmarkStart w:id="122" w:name="_Toc12934"/>
      <w:bookmarkStart w:id="123" w:name="_Toc468296145"/>
      <w:r>
        <w:rPr>
          <w:rFonts w:ascii="宋体" w:cs="宋体" w:hint="eastAsia"/>
          <w:b/>
          <w:bCs/>
          <w:color w:val="auto"/>
          <w:kern w:val="0"/>
          <w:szCs w:val="21"/>
          <w:lang w:val="en-US" w:eastAsia="zh-CN"/>
          <w:highlight w:val="auto"/>
        </w:rPr>
        <w:t>6.2</w:t>
      </w:r>
      <w:r>
        <w:rPr>
          <w:rFonts w:ascii="宋体" w:eastAsia="宋体"/>
          <w:color w:val="auto"/>
          <w:sz w:val="24"/>
          <w:szCs w:val="24"/>
          <w:highlight w:val="auto"/>
        </w:rPr>
        <w:t xml:space="preserve"> </w:t>
      </w:r>
      <w:r>
        <w:rPr>
          <w:rFonts w:ascii="宋体" w:hint="eastAsia"/>
          <w:color w:val="auto"/>
          <w:sz w:val="24"/>
          <w:szCs w:val="24"/>
          <w:lang w:val="en-US" w:eastAsia="zh-CN"/>
          <w:highlight w:val="auto"/>
        </w:rPr>
        <w:t xml:space="preserve">                           </w:t>
      </w:r>
      <w:r>
        <w:rPr>
          <w:rFonts w:ascii="宋体" w:cs="宋体" w:hint="eastAsia"/>
          <w:b/>
          <w:bCs/>
          <w:color w:val="auto"/>
          <w:kern w:val="0"/>
          <w:szCs w:val="21"/>
          <w:lang w:val="en-US" w:eastAsia="zh-CN"/>
          <w:highlight w:val="auto"/>
        </w:rPr>
        <w:t xml:space="preserve">   </w:t>
      </w:r>
      <w:r>
        <w:rPr>
          <w:rFonts w:ascii="宋体" w:cs="宋体" w:hint="eastAsia"/>
          <w:b/>
          <w:bCs/>
          <w:color w:val="auto"/>
          <w:kern w:val="0"/>
          <w:szCs w:val="21"/>
          <w:highlight w:val="auto"/>
        </w:rPr>
        <w:t>承诺函</w:t>
      </w:r>
    </w:p>
    <w:p>
      <w:pPr>
        <w:snapToGrid w:val="0"/>
        <w:spacing w:line="360" w:lineRule="auto"/>
        <w:ind w:rightChars="20" w:right="42" w:firstLineChars="200" w:firstLine="420"/>
        <w:rPr>
          <w:rFonts w:ascii="宋体" w:eastAsia="宋体"/>
          <w:b/>
          <w:color w:val="auto"/>
          <w:highlight w:val="auto"/>
        </w:rPr>
      </w:pPr>
      <w:r>
        <w:rPr>
          <w:rFonts w:ascii="宋体" w:eastAsia="宋体" w:hint="eastAsia"/>
          <w:b/>
          <w:color w:val="auto"/>
          <w:highlight w:val="auto"/>
        </w:rPr>
        <w:t>嘉兴海关综合技术服务中心：</w:t>
      </w:r>
    </w:p>
    <w:p>
      <w:pPr>
        <w:snapToGrid w:val="0"/>
        <w:spacing w:line="360" w:lineRule="auto"/>
        <w:ind w:rightChars="20" w:right="42" w:firstLineChars="200" w:firstLine="420"/>
        <w:jc w:val="left"/>
        <w:rPr>
          <w:rFonts w:ascii="宋体" w:eastAsia="宋体"/>
          <w:color w:val="auto"/>
          <w:szCs w:val="21"/>
          <w:shd w:val="clear" w:color="auto" w:fill="FFFFFF"/>
          <w:highlight w:val="auto"/>
        </w:rPr>
      </w:pPr>
    </w:p>
    <w:p>
      <w:pPr>
        <w:snapToGrid w:val="0"/>
        <w:spacing w:line="360" w:lineRule="auto"/>
        <w:ind w:rightChars="20" w:right="42" w:firstLineChars="200" w:firstLine="420"/>
        <w:jc w:val="left"/>
        <w:rPr>
          <w:rFonts w:ascii="宋体" w:eastAsia="宋体" w:cs="Times New Roman" w:hint="eastAsia"/>
          <w:color w:val="auto"/>
          <w:szCs w:val="21"/>
          <w:highlight w:val="auto"/>
        </w:rPr>
      </w:pPr>
      <w:r>
        <w:rPr>
          <w:rFonts w:ascii="宋体" w:eastAsia="宋体" w:hint="eastAsia"/>
          <w:color w:val="auto"/>
          <w:szCs w:val="21"/>
          <w:highlight w:val="auto"/>
        </w:rPr>
        <w:t>本公司（公司名称）参加</w:t>
      </w:r>
      <w:r>
        <w:rPr>
          <w:rFonts w:ascii="宋体" w:eastAsia="宋体" w:hint="eastAsia"/>
          <w:color w:val="auto"/>
          <w:szCs w:val="21"/>
          <w:u w:val="single"/>
          <w:lang w:eastAsia="zh-CN"/>
          <w:highlight w:val="auto"/>
        </w:rPr>
        <w:t>嘉兴海关综合技术服务中心2025年实验室仪器设备更新项目（一）（第三次）</w:t>
      </w:r>
      <w:r>
        <w:rPr>
          <w:rFonts w:ascii="宋体" w:eastAsia="宋体" w:hint="eastAsia"/>
          <w:color w:val="auto"/>
          <w:szCs w:val="21"/>
          <w:highlight w:val="auto"/>
        </w:rPr>
        <w:t>投标活动，现承诺如下：</w:t>
        <w:br/>
        <w:br/>
      </w:r>
      <w:r>
        <w:rPr>
          <w:rFonts w:ascii="宋体" w:eastAsia="宋体" w:cs="Times New Roman" w:hint="eastAsia"/>
          <w:color w:val="auto"/>
          <w:szCs w:val="21"/>
          <w:lang w:val="en-US" w:eastAsia="zh-CN"/>
          <w:highlight w:val="auto"/>
        </w:rPr>
        <w:t xml:space="preserve">    </w:t>
      </w:r>
      <w:r>
        <w:rPr>
          <w:rFonts w:ascii="宋体" w:eastAsia="宋体" w:cs="Times New Roman"/>
          <w:color w:val="auto"/>
          <w:szCs w:val="21"/>
          <w:lang w:val="en-US" w:eastAsia="zh-CN"/>
          <w:highlight w:val="auto"/>
        </w:rPr>
        <w:t>（一）具有独立承担民事责任的能力；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（二）具有良好的商业信誉和健全的财务会计制度；</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（三）具有履行合同所必需的设备和专业技术能力；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（四）有依法缴纳税收和社会保障资金的良好记录；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（五）参加政府采购活动前三年内，在经营活动中没有重大违法记录；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（六）法律、行政法规规定的其他条件。</w:t>
      </w:r>
    </w:p>
    <w:p>
      <w:pPr>
        <w:snapToGrid w:val="0"/>
        <w:spacing w:line="360" w:lineRule="auto"/>
        <w:ind w:rightChars="20" w:right="42"/>
        <w:jc w:val="left"/>
        <w:rPr>
          <w:b/>
          <w:bCs/>
          <w:color w:val="auto"/>
          <w:sz w:val="21"/>
          <w:szCs w:val="21"/>
          <w:highlight w:val="auto"/>
        </w:rPr>
      </w:pPr>
    </w:p>
    <w:p>
      <w:pPr>
        <w:snapToGrid w:val="0"/>
        <w:spacing w:line="360" w:lineRule="auto"/>
        <w:ind w:rightChars="20" w:right="42" w:firstLineChars="200" w:firstLine="420"/>
        <w:jc w:val="left"/>
        <w:rPr>
          <w:rFonts w:ascii="宋体" w:eastAsia="宋体"/>
          <w:color w:val="auto"/>
          <w:szCs w:val="21"/>
          <w:u w:val="single"/>
          <w:highlight w:val="auto"/>
        </w:rPr>
      </w:pPr>
      <w:r>
        <w:rPr>
          <w:rFonts w:ascii="宋体" w:eastAsia="宋体" w:hint="eastAsia"/>
          <w:color w:val="auto"/>
          <w:szCs w:val="21"/>
          <w:highlight w:val="auto"/>
        </w:rPr>
        <w:br/>
        <w:br/>
      </w:r>
      <w:r>
        <w:rPr>
          <w:rFonts w:ascii="宋体" w:eastAsia="宋体" w:hint="eastAsia"/>
          <w:color w:val="auto"/>
          <w:szCs w:val="21"/>
          <w:shd w:val="clear" w:color="auto" w:fill="FFFFFF"/>
          <w:highlight w:val="auto"/>
        </w:rPr>
        <w:t>如违反以上承诺，本公司愿承担一切法律责任。</w:t>
      </w:r>
      <w:r>
        <w:rPr>
          <w:rFonts w:ascii="宋体" w:eastAsia="宋体" w:hint="eastAsia"/>
          <w:color w:val="auto"/>
          <w:szCs w:val="21"/>
          <w:highlight w:val="auto"/>
        </w:rPr>
        <w:br/>
        <w:br/>
        <w:br/>
        <w:br/>
      </w:r>
      <w:r>
        <w:rPr>
          <w:rFonts w:ascii="微软雅黑" w:hAnsi="微软雅黑" w:hint="eastAsia"/>
          <w:color w:val="auto"/>
          <w:szCs w:val="21"/>
          <w:highlight w:val="auto"/>
        </w:rPr>
        <w:t xml:space="preserve">  </w:t>
      </w:r>
      <w:r>
        <w:rPr>
          <w:rFonts w:ascii="宋体" w:hint="eastAsia"/>
          <w:color w:val="auto"/>
          <w:szCs w:val="21"/>
          <w:shd w:val="clear" w:color="auto" w:fill="FFFFFF"/>
          <w:highlight w:val="auto"/>
        </w:rPr>
        <w:t>投标人名称：（盖章）</w:t>
      </w:r>
      <w:r>
        <w:rPr>
          <w:rFonts w:ascii="宋体" w:eastAsia="宋体" w:hint="eastAsia"/>
          <w:color w:val="auto"/>
          <w:szCs w:val="21"/>
          <w:highlight w:val="auto"/>
        </w:rPr>
        <w:br/>
        <w:br/>
        <w:t>法定代表人或其授权代表签字（或盖章）</w:t>
      </w:r>
      <w:r>
        <w:rPr>
          <w:rFonts w:ascii="宋体" w:eastAsia="宋体" w:hint="eastAsia"/>
          <w:color w:val="auto"/>
          <w:szCs w:val="21"/>
          <w:shd w:val="clear" w:color="auto" w:fill="FFFFFF"/>
          <w:highlight w:val="auto"/>
        </w:rPr>
        <w:t>：</w:t>
      </w:r>
      <w:r>
        <w:rPr>
          <w:rFonts w:ascii="宋体" w:eastAsia="宋体" w:hint="eastAsia"/>
          <w:color w:val="auto"/>
          <w:szCs w:val="21"/>
          <w:highlight w:val="auto"/>
        </w:rPr>
        <w:br/>
        <w:br/>
      </w:r>
      <w:r>
        <w:rPr>
          <w:rFonts w:ascii="宋体" w:eastAsia="宋体" w:hint="eastAsia"/>
          <w:color w:val="auto"/>
          <w:szCs w:val="21"/>
          <w:shd w:val="clear" w:color="auto" w:fill="FFFFFF"/>
          <w:highlight w:val="auto"/>
        </w:rPr>
        <w:t>投标日期： 年 月 日</w:t>
      </w: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396"/>
        <w:jc w:val="left"/>
        <w:rPr>
          <w:rFonts w:ascii="宋体" w:eastAsia="宋体" w:cs="宋体" w:hint="eastAsia"/>
          <w:b/>
          <w:bCs/>
          <w:color w:val="auto"/>
          <w:kern w:val="0"/>
          <w:sz w:val="21"/>
          <w:szCs w:val="21"/>
          <w:lang w:val="en-US" w:eastAsia="zh-CN" w:bidi="ar-SA"/>
          <w:highlight w:val="auto"/>
        </w:rPr>
      </w:pPr>
      <w:r>
        <w:rPr>
          <w:rFonts w:hint="eastAsia"/>
          <w:b/>
          <w:color w:val="auto"/>
          <w:spacing w:val="-6"/>
          <w:szCs w:val="21"/>
          <w:lang w:val="en-US" w:eastAsia="zh-CN"/>
          <w:highlight w:val="auto"/>
        </w:rPr>
        <w:t>6.3</w:t>
      </w:r>
      <w:r>
        <w:rPr>
          <w:rFonts w:hint="eastAsia"/>
          <w:b/>
          <w:color w:val="auto"/>
          <w:spacing w:val="-6"/>
          <w:szCs w:val="21"/>
          <w:highlight w:val="auto"/>
        </w:rPr>
        <w:t>未</w:t>
      </w:r>
      <w:r>
        <w:rPr>
          <w:rFonts w:ascii="宋体" w:cs="宋体" w:hint="eastAsia"/>
          <w:b/>
          <w:bCs/>
          <w:color w:val="auto"/>
          <w:kern w:val="0"/>
          <w:szCs w:val="21"/>
          <w:highlight w:val="auto"/>
        </w:rPr>
        <w:t>被“信用中国”（www.creditchina.gov.cn)、中国政府采购网（www.ccgp.gov.cn）列入失信被执行人、重大税收违法失信主体、政府采购严重违法失信行为记录名单</w:t>
      </w:r>
      <w:r>
        <w:rPr>
          <w:rFonts w:ascii="宋体" w:cs="宋体" w:hint="eastAsia"/>
          <w:b/>
          <w:snapToGrid w:val="0"/>
          <w:color w:val="auto"/>
          <w:kern w:val="0"/>
          <w:szCs w:val="21"/>
          <w:highlight w:val="auto"/>
        </w:rPr>
        <w:t>（提供网站截图）</w:t>
      </w:r>
      <w:r>
        <w:rPr>
          <w:rFonts w:hint="eastAsia"/>
          <w:b/>
          <w:color w:val="auto"/>
          <w:spacing w:val="-6"/>
          <w:szCs w:val="21"/>
          <w:highlight w:val="auto"/>
        </w:rPr>
        <w:t>。（代理机构以开标当日在“信用中国”网站（</w:t>
      </w:r>
      <w:r>
        <w:rPr>
          <w:b/>
          <w:color w:val="auto"/>
          <w:spacing w:val="-6"/>
          <w:szCs w:val="21"/>
          <w:highlight w:val="auto"/>
        </w:rPr>
        <w:t>www.creditchina.gov.cn</w:t>
      </w:r>
      <w:r>
        <w:rPr>
          <w:rFonts w:hint="eastAsia"/>
          <w:b/>
          <w:color w:val="auto"/>
          <w:spacing w:val="-6"/>
          <w:szCs w:val="21"/>
          <w:highlight w:val="auto"/>
        </w:rPr>
        <w:t>）、中国政府采购网（</w:t>
      </w:r>
      <w:r>
        <w:rPr>
          <w:b/>
          <w:color w:val="auto"/>
          <w:spacing w:val="-6"/>
          <w:szCs w:val="21"/>
          <w:highlight w:val="auto"/>
        </w:rPr>
        <w:t>www.ccgp.gov.cn</w:t>
      </w:r>
      <w:r>
        <w:rPr>
          <w:rFonts w:hint="eastAsia"/>
          <w:b/>
          <w:color w:val="auto"/>
          <w:spacing w:val="-6"/>
          <w:szCs w:val="21"/>
          <w:highlight w:val="auto"/>
        </w:rPr>
        <w:t>）网页查询记录为准）</w:t>
      </w:r>
      <w:r>
        <w:rPr>
          <w:rFonts w:ascii="宋体" w:eastAsia="宋体" w:cs="宋体" w:hint="eastAsia"/>
          <w:b/>
          <w:bCs/>
          <w:color w:val="auto"/>
          <w:kern w:val="0"/>
          <w:sz w:val="21"/>
          <w:szCs w:val="21"/>
          <w:lang w:val="en-US" w:eastAsia="zh-CN" w:bidi="ar-SA"/>
          <w:highlight w:val="auto"/>
        </w:rPr>
        <w:t>对列入失信被执行人、重大税收违法失信主体、政府采购严重违法失信行为记录名单的供应商，其投标将作无效标处理。</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r>
        <w:rPr>
          <w:rFonts w:ascii="宋体" w:cs="宋体"/>
          <w:b/>
          <w:color w:val="auto"/>
          <w:szCs w:val="21"/>
          <w:highlight w:val="auto"/>
        </w:rPr>
        <w:t>6.</w:t>
      </w:r>
      <w:r>
        <w:rPr>
          <w:rFonts w:ascii="宋体" w:cs="宋体" w:hint="eastAsia"/>
          <w:b/>
          <w:color w:val="auto"/>
          <w:szCs w:val="21"/>
          <w:lang w:val="en-US" w:eastAsia="zh-CN"/>
          <w:highlight w:val="auto"/>
        </w:rPr>
        <w:t>4中</w:t>
      </w:r>
      <w:r>
        <w:rPr>
          <w:rFonts w:ascii="宋体" w:cs="宋体" w:hint="eastAsia"/>
          <w:b/>
          <w:color w:val="auto"/>
          <w:szCs w:val="21"/>
          <w:highlight w:val="auto"/>
        </w:rPr>
        <w:t>小企业声明函</w:t>
      </w:r>
    </w:p>
    <w:p>
      <w:pPr>
        <w:pStyle w:val="24"/>
        <w:spacing w:line="600" w:lineRule="exact"/>
        <w:jc w:val="center"/>
        <w:rPr>
          <w:rFonts w:ascii="宋体" w:eastAsia="宋体" w:cs="宋体"/>
          <w:b/>
          <w:bCs/>
          <w:color w:val="auto"/>
          <w:sz w:val="21"/>
          <w:szCs w:val="21"/>
          <w:highlight w:val="auto"/>
        </w:rPr>
      </w:pPr>
      <w:r>
        <w:rPr>
          <w:rFonts w:ascii="宋体" w:eastAsia="宋体" w:cs="宋体" w:hint="eastAsia"/>
          <w:b/>
          <w:bCs/>
          <w:color w:val="auto"/>
          <w:sz w:val="21"/>
          <w:szCs w:val="21"/>
          <w:highlight w:val="auto"/>
        </w:rPr>
        <w:t>中小企业声明函（货物）</w:t>
      </w:r>
    </w:p>
    <w:p>
      <w:pPr>
        <w:pStyle w:val="21"/>
        <w:rPr>
          <w:rFonts w:ascii="宋体"/>
          <w:b/>
          <w:color w:val="auto"/>
          <w:sz w:val="21"/>
          <w:szCs w:val="21"/>
          <w:highlight w:val="auto"/>
        </w:rPr>
      </w:pPr>
    </w:p>
    <w:p>
      <w:pPr>
        <w:pStyle w:val="21"/>
        <w:spacing w:before="2"/>
        <w:rPr>
          <w:rFonts w:ascii="宋体"/>
          <w:b/>
          <w:color w:val="auto"/>
          <w:sz w:val="21"/>
          <w:szCs w:val="21"/>
          <w:highlight w:val="auto"/>
        </w:rPr>
      </w:pP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本公司（联合体）郑重声明，根据《政府采购促进中小企业发展管理办法》（财库﹝</w:t>
      </w:r>
      <w:r>
        <w:rPr>
          <w:rFonts w:ascii="宋体"/>
          <w:color w:val="auto"/>
          <w:sz w:val="21"/>
          <w:szCs w:val="21"/>
          <w:highlight w:val="auto"/>
        </w:rPr>
        <w:t>2020</w:t>
      </w:r>
      <w:r>
        <w:rPr>
          <w:rFonts w:ascii="宋体" w:hint="eastAsia"/>
          <w:color w:val="auto"/>
          <w:sz w:val="21"/>
          <w:szCs w:val="21"/>
          <w:highlight w:val="auto"/>
        </w:rPr>
        <w:t>﹞</w:t>
      </w:r>
      <w:r>
        <w:rPr>
          <w:rFonts w:ascii="宋体"/>
          <w:color w:val="auto"/>
          <w:sz w:val="21"/>
          <w:szCs w:val="21"/>
          <w:highlight w:val="auto"/>
        </w:rPr>
        <w:t xml:space="preserve">46 </w:t>
      </w:r>
      <w:r>
        <w:rPr>
          <w:rFonts w:ascii="宋体" w:hint="eastAsia"/>
          <w:color w:val="auto"/>
          <w:sz w:val="21"/>
          <w:szCs w:val="21"/>
          <w:highlight w:val="auto"/>
        </w:rPr>
        <w:t>号）的规定，本公司（联合体）参加</w:t>
      </w:r>
      <w:r>
        <w:rPr>
          <w:rFonts w:ascii="宋体" w:hint="eastAsia"/>
          <w:color w:val="auto"/>
          <w:sz w:val="21"/>
          <w:szCs w:val="21"/>
          <w:u w:val="single"/>
          <w:highlight w:val="auto"/>
        </w:rPr>
        <w:t>（单位名称）</w:t>
      </w:r>
      <w:r>
        <w:rPr>
          <w:rFonts w:ascii="宋体" w:hint="eastAsia"/>
          <w:color w:val="auto"/>
          <w:sz w:val="21"/>
          <w:szCs w:val="21"/>
          <w:highlight w:val="auto"/>
        </w:rPr>
        <w:t>的</w:t>
      </w:r>
      <w:r>
        <w:rPr>
          <w:rFonts w:ascii="宋体" w:hint="eastAsia"/>
          <w:color w:val="auto"/>
          <w:sz w:val="21"/>
          <w:szCs w:val="21"/>
          <w:u w:val="single"/>
          <w:highlight w:val="auto"/>
        </w:rPr>
        <w:t>（项目名称）</w:t>
      </w:r>
      <w:r>
        <w:rPr>
          <w:rFonts w:ascii="宋体" w:hint="eastAsia"/>
          <w:color w:val="auto"/>
          <w:sz w:val="21"/>
          <w:szCs w:val="21"/>
          <w:highlight w:val="auto"/>
        </w:rPr>
        <w:t>采购活动，</w:t>
      </w:r>
      <w:r>
        <w:rPr>
          <w:rFonts w:ascii="宋体" w:hint="eastAsia"/>
          <w:b/>
          <w:bCs/>
          <w:color w:val="auto"/>
          <w:sz w:val="21"/>
          <w:szCs w:val="21"/>
          <w:highlight w:val="auto"/>
        </w:rPr>
        <w:t>提</w:t>
      </w:r>
      <w:r>
        <w:rPr>
          <w:rFonts w:ascii="宋体" w:hint="eastAsia"/>
          <w:b/>
          <w:bCs/>
          <w:color w:val="auto"/>
          <w:w w:val="95"/>
          <w:sz w:val="21"/>
          <w:szCs w:val="21"/>
          <w:highlight w:val="auto"/>
        </w:rPr>
        <w:t>供的货物全部由符合政策要求的中小企业制造。</w:t>
      </w:r>
      <w:r>
        <w:rPr>
          <w:rFonts w:ascii="宋体" w:hint="eastAsia"/>
          <w:color w:val="auto"/>
          <w:w w:val="95"/>
          <w:sz w:val="21"/>
          <w:szCs w:val="21"/>
          <w:highlight w:val="auto"/>
        </w:rPr>
        <w:t>相关企业</w:t>
      </w:r>
      <w:r>
        <w:rPr>
          <w:rFonts w:ascii="宋体" w:hint="eastAsia"/>
          <w:color w:val="auto"/>
          <w:sz w:val="21"/>
          <w:szCs w:val="21"/>
          <w:highlight w:val="auto"/>
        </w:rPr>
        <w:t>（含联合体中的中小企业、签订分包意向协议的中小企业）的具体情况如下：</w:t>
      </w:r>
    </w:p>
    <w:p>
      <w:pPr>
        <w:pStyle w:val="85"/>
        <w:tabs>
          <w:tab w:val="left" w:pos="1183"/>
          <w:tab w:val="left" w:pos="1484"/>
          <w:tab w:val="left" w:pos="4662"/>
          <w:tab w:val="left" w:pos="6903"/>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1.</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hint="eastAsia"/>
          <w:color w:val="auto"/>
          <w:w w:val="99"/>
          <w:szCs w:val="21"/>
          <w:highlight w:val="auto"/>
        </w:rPr>
        <w:t>人，营业收</w:t>
      </w:r>
      <w:r>
        <w:rPr>
          <w:rFonts w:ascii="宋体" w:hint="eastAsia"/>
          <w:color w:val="auto"/>
          <w:szCs w:val="21"/>
          <w:highlight w:val="auto"/>
        </w:rPr>
        <w:t>入为</w:t>
      </w:r>
      <w:r>
        <w:rPr>
          <w:rFonts w:ascii="宋体"/>
          <w:color w:val="auto"/>
          <w:szCs w:val="21"/>
          <w:u w:val="single"/>
          <w:highlight w:val="auto"/>
        </w:rPr>
        <w:t xml:space="preserve">        </w:t>
      </w:r>
      <w:r>
        <w:rPr>
          <w:rFonts w:ascii="宋体" w:hint="eastAsia"/>
          <w:color w:val="auto"/>
          <w:szCs w:val="21"/>
          <w:highlight w:val="auto"/>
        </w:rPr>
        <w:t>万元，资产总额为</w:t>
      </w:r>
      <w:r>
        <w:rPr>
          <w:rFonts w:ascii="宋体"/>
          <w:color w:val="auto"/>
          <w:szCs w:val="21"/>
          <w:u w:val="single"/>
          <w:highlight w:val="auto"/>
        </w:rPr>
        <w:t xml:space="preserve">  </w:t>
        <w:tab/>
        <w:t xml:space="preserve"> </w:t>
      </w:r>
      <w:r>
        <w:rPr>
          <w:rFonts w:ascii="宋体" w:hint="eastAsia"/>
          <w:color w:val="auto"/>
          <w:szCs w:val="21"/>
          <w:highlight w:val="auto"/>
        </w:rPr>
        <w:t>万元</w:t>
      </w:r>
      <w:r>
        <w:rPr>
          <w:rFonts w:ascii="宋体"/>
          <w:color w:val="auto"/>
          <w:szCs w:val="21"/>
          <w:vertAlign w:val="superscript"/>
          <w:highlight w:val="auto"/>
        </w:rPr>
        <w:fldChar w:fldCharType="begin"/>
      </w:r>
      <w:r>
        <w:instrText>HYPERLINK  \l "_bookmark0"</w:instrText>
      </w:r>
      <w:r>
        <w:rPr>
          <w:rFonts w:ascii="宋体"/>
          <w:color w:val="auto"/>
          <w:szCs w:val="21"/>
          <w:vertAlign w:val="superscript"/>
          <w:highlight w:val="auto"/>
        </w:rPr>
        <w:fldChar w:fldCharType="separate"/>
      </w:r>
      <w:r>
        <w:rPr>
          <w:rFonts w:ascii="宋体"/>
          <w:color w:val="auto"/>
          <w:szCs w:val="21"/>
          <w:vertAlign w:val="superscript"/>
          <w:highlight w:val="auto"/>
        </w:rPr>
        <w:t>1</w:t>
      </w:r>
      <w:r>
        <w:rPr>
          <w:rFonts w:ascii="宋体"/>
          <w:color w:val="auto"/>
          <w:szCs w:val="21"/>
          <w:vertAlign w:val="superscript"/>
          <w:highlight w:val="auto"/>
        </w:rPr>
        <w:fldChar w:fldCharType="end"/>
      </w:r>
      <w:r>
        <w:rPr>
          <w:rFonts w:ascii="宋体" w:hint="eastAsia"/>
          <w:color w:val="auto"/>
          <w:szCs w:val="21"/>
          <w:highlight w:val="auto"/>
        </w:rPr>
        <w:t>，属于</w:t>
      </w:r>
      <w:r>
        <w:rPr>
          <w:rFonts w:ascii="宋体" w:hint="eastAsia"/>
          <w:color w:val="auto"/>
          <w:szCs w:val="21"/>
          <w:u w:val="single"/>
          <w:highlight w:val="auto"/>
        </w:rPr>
        <w:t>（中型企业、小</w:t>
      </w:r>
      <w:r>
        <w:rPr>
          <w:rFonts w:ascii="宋体" w:hint="eastAsia"/>
          <w:color w:val="auto"/>
          <w:w w:val="96"/>
          <w:szCs w:val="21"/>
          <w:u w:val="single"/>
          <w:highlight w:val="auto"/>
        </w:rPr>
        <w:t>型企业、微型企业）</w:t>
      </w:r>
      <w:r>
        <w:rPr>
          <w:rFonts w:ascii="宋体" w:hint="eastAsia"/>
          <w:color w:val="auto"/>
          <w:w w:val="99"/>
          <w:szCs w:val="21"/>
          <w:highlight w:val="auto"/>
        </w:rPr>
        <w:t>；</w:t>
      </w:r>
    </w:p>
    <w:p>
      <w:pPr>
        <w:pStyle w:val="85"/>
        <w:tabs>
          <w:tab w:val="left" w:pos="1183"/>
          <w:tab w:val="left" w:pos="4362"/>
          <w:tab w:val="left" w:pos="6577"/>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2.</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color w:val="auto"/>
          <w:szCs w:val="21"/>
          <w:u w:val="single"/>
          <w:highlight w:val="auto"/>
        </w:rPr>
        <w:tab/>
      </w:r>
      <w:r>
        <w:rPr>
          <w:rFonts w:ascii="宋体" w:hint="eastAsia"/>
          <w:color w:val="auto"/>
          <w:w w:val="99"/>
          <w:szCs w:val="21"/>
          <w:highlight w:val="auto"/>
        </w:rPr>
        <w:t>人，营业收入</w:t>
      </w:r>
      <w:r>
        <w:rPr>
          <w:rFonts w:ascii="宋体" w:hint="eastAsia"/>
          <w:color w:val="auto"/>
          <w:szCs w:val="21"/>
          <w:highlight w:val="auto"/>
        </w:rPr>
        <w:t>为</w:t>
      </w:r>
      <w:r>
        <w:rPr>
          <w:rFonts w:ascii="宋体"/>
          <w:color w:val="auto"/>
          <w:szCs w:val="21"/>
          <w:u w:val="single"/>
          <w:highlight w:val="auto"/>
        </w:rPr>
        <w:t xml:space="preserve"> </w:t>
        <w:tab/>
        <w:t xml:space="preserve">  </w:t>
      </w:r>
      <w:r>
        <w:rPr>
          <w:rFonts w:ascii="宋体" w:hint="eastAsia"/>
          <w:color w:val="auto"/>
          <w:szCs w:val="21"/>
          <w:highlight w:val="auto"/>
        </w:rPr>
        <w:t>万元，资产总额为</w:t>
      </w:r>
      <w:r>
        <w:rPr>
          <w:rFonts w:ascii="宋体"/>
          <w:color w:val="auto"/>
          <w:szCs w:val="21"/>
          <w:u w:val="single"/>
          <w:highlight w:val="auto"/>
        </w:rPr>
        <w:t xml:space="preserve"> </w:t>
        <w:tab/>
      </w:r>
      <w:r>
        <w:rPr>
          <w:rFonts w:ascii="宋体" w:hint="eastAsia"/>
          <w:color w:val="auto"/>
          <w:szCs w:val="21"/>
          <w:highlight w:val="auto"/>
        </w:rPr>
        <w:t>万元，属于</w:t>
      </w:r>
      <w:r>
        <w:rPr>
          <w:rFonts w:ascii="宋体" w:hint="eastAsia"/>
          <w:color w:val="auto"/>
          <w:szCs w:val="21"/>
          <w:u w:val="single"/>
          <w:highlight w:val="auto"/>
        </w:rPr>
        <w:t>（中型企业、小型</w:t>
      </w:r>
      <w:r>
        <w:rPr>
          <w:rFonts w:ascii="宋体" w:hint="eastAsia"/>
          <w:color w:val="auto"/>
          <w:w w:val="96"/>
          <w:szCs w:val="21"/>
          <w:u w:val="single"/>
          <w:highlight w:val="auto"/>
        </w:rPr>
        <w:t>企业、微型企业）</w:t>
      </w:r>
      <w:r>
        <w:rPr>
          <w:rFonts w:ascii="宋体" w:hint="eastAsia"/>
          <w:color w:val="auto"/>
          <w:w w:val="99"/>
          <w:szCs w:val="21"/>
          <w:highlight w:val="auto"/>
        </w:rPr>
        <w:t>；</w:t>
      </w:r>
    </w:p>
    <w:p>
      <w:pPr>
        <w:pStyle w:val="21"/>
        <w:autoSpaceDE w:val="0"/>
        <w:autoSpaceDN w:val="0"/>
        <w:spacing w:line="360" w:lineRule="auto"/>
        <w:ind w:rightChars="-31" w:right="-65" w:firstLineChars="228" w:firstLine="479"/>
        <w:rPr>
          <w:rFonts w:ascii="宋体"/>
          <w:color w:val="auto"/>
          <w:sz w:val="21"/>
          <w:szCs w:val="21"/>
          <w:highlight w:val="auto"/>
        </w:rPr>
      </w:pPr>
      <w:r>
        <w:rPr>
          <w:rFonts w:ascii="宋体" w:hint="eastAsia"/>
          <w:color w:val="auto"/>
          <w:sz w:val="21"/>
          <w:szCs w:val="21"/>
          <w:highlight w:val="auto"/>
        </w:rPr>
        <w:t>……</w:t>
      </w: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以上企业，不属于大企业的分支机构，不存在控股股东为大企业的情形，也不存在与大企业的负责人为同一人的情形。</w:t>
      </w: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本企业对上述声明内容的真实性负责。如有虚假，将依法承担相应责任。</w:t>
      </w:r>
    </w:p>
    <w:p>
      <w:pPr>
        <w:pStyle w:val="21"/>
        <w:autoSpaceDE w:val="0"/>
        <w:autoSpaceDN w:val="0"/>
        <w:spacing w:line="360" w:lineRule="auto"/>
        <w:ind w:right="372" w:firstLine="645"/>
        <w:rPr>
          <w:rFonts w:ascii="宋体"/>
          <w:color w:val="auto"/>
          <w:sz w:val="21"/>
          <w:szCs w:val="21"/>
          <w:highlight w:val="auto"/>
        </w:rPr>
      </w:pPr>
    </w:p>
    <w:p>
      <w:pPr>
        <w:pStyle w:val="21"/>
        <w:autoSpaceDE w:val="0"/>
        <w:autoSpaceDN w:val="0"/>
        <w:spacing w:line="360" w:lineRule="auto"/>
        <w:ind w:right="372" w:firstLine="645"/>
        <w:rPr>
          <w:rFonts w:ascii="宋体"/>
          <w:color w:val="auto"/>
          <w:sz w:val="21"/>
          <w:szCs w:val="21"/>
          <w:highlight w:val="auto"/>
        </w:rPr>
      </w:pPr>
    </w:p>
    <w:p>
      <w:pPr>
        <w:pStyle w:val="21"/>
        <w:autoSpaceDE w:val="0"/>
        <w:autoSpaceDN w:val="0"/>
        <w:spacing w:line="360" w:lineRule="auto"/>
        <w:ind w:left="4060" w:right="2166"/>
        <w:rPr>
          <w:rFonts w:ascii="宋体"/>
          <w:color w:val="auto"/>
          <w:w w:val="99"/>
          <w:sz w:val="21"/>
          <w:szCs w:val="21"/>
          <w:highlight w:val="auto"/>
        </w:rPr>
      </w:pPr>
      <w:r>
        <w:rPr>
          <w:rFonts w:ascii="宋体" w:hint="eastAsia"/>
          <w:color w:val="auto"/>
          <w:w w:val="99"/>
          <w:sz w:val="21"/>
          <w:szCs w:val="21"/>
          <w:highlight w:val="auto"/>
        </w:rPr>
        <w:t>企业名称（盖章）：</w:t>
      </w:r>
    </w:p>
    <w:p>
      <w:pPr>
        <w:pStyle w:val="21"/>
        <w:autoSpaceDE w:val="0"/>
        <w:autoSpaceDN w:val="0"/>
        <w:spacing w:line="360" w:lineRule="auto"/>
        <w:ind w:left="4060" w:right="2166"/>
        <w:rPr>
          <w:rFonts w:ascii="宋体"/>
          <w:color w:val="auto"/>
          <w:sz w:val="21"/>
          <w:szCs w:val="21"/>
          <w:highlight w:val="auto"/>
        </w:rPr>
      </w:pPr>
      <w:r>
        <w:rPr>
          <w:rFonts w:ascii="宋体" w:hint="eastAsia"/>
          <w:color w:val="auto"/>
          <w:sz w:val="21"/>
          <w:szCs w:val="21"/>
          <w:highlight w:val="auto"/>
        </w:rPr>
        <w:t>日期：</w:t>
      </w:r>
    </w:p>
    <w:p>
      <w:pPr>
        <w:autoSpaceDE w:val="0"/>
        <w:autoSpaceDN w:val="0"/>
        <w:spacing w:line="360" w:lineRule="auto"/>
        <w:rPr>
          <w:rFonts w:ascii="宋体"/>
          <w:color w:val="auto"/>
          <w:szCs w:val="21"/>
          <w:highlight w:val="auto"/>
        </w:rPr>
      </w:pPr>
    </w:p>
    <w:p>
      <w:pPr>
        <w:pStyle w:val="24"/>
        <w:rPr>
          <w:rFonts w:ascii="宋体" w:eastAsia="宋体"/>
          <w:color w:val="auto"/>
          <w:sz w:val="21"/>
          <w:szCs w:val="21"/>
          <w:highlight w:val="auto"/>
        </w:rPr>
      </w:pPr>
    </w:p>
    <w:p>
      <w:pPr>
        <w:pStyle w:val="24"/>
        <w:rPr>
          <w:rFonts w:ascii="宋体" w:eastAsia="宋体"/>
          <w:color w:val="auto"/>
          <w:sz w:val="21"/>
          <w:szCs w:val="21"/>
          <w:highlight w:val="auto"/>
        </w:rPr>
      </w:pPr>
    </w:p>
    <w:p>
      <w:pPr>
        <w:pStyle w:val="24"/>
        <w:rPr>
          <w:rFonts w:ascii="宋体" w:eastAsia="宋体"/>
          <w:color w:val="auto"/>
          <w:sz w:val="21"/>
          <w:szCs w:val="21"/>
          <w:highlight w:val="auto"/>
        </w:rPr>
      </w:pPr>
    </w:p>
    <w:p>
      <w:pPr>
        <w:pStyle w:val="24"/>
        <w:ind w:left="0"/>
        <w:rPr>
          <w:rFonts w:ascii="宋体" w:eastAsia="宋体"/>
          <w:color w:val="auto"/>
          <w:sz w:val="21"/>
          <w:szCs w:val="21"/>
          <w:highlight w:val="auto"/>
        </w:rPr>
      </w:pPr>
    </w:p>
    <w:p>
      <w:pPr>
        <w:adjustRightInd w:val="0"/>
        <w:snapToGrid w:val="0"/>
        <w:spacing w:line="320" w:lineRule="exact"/>
        <w:rPr>
          <w:rFonts w:ascii="宋体" w:cs="宋体"/>
          <w:b/>
          <w:color w:val="auto"/>
          <w:szCs w:val="21"/>
          <w:highlight w:val="auto"/>
        </w:rPr>
      </w:pPr>
      <w:r>
        <w:rPr>
          <w:rFonts w:ascii="宋体" w:cs="宋体" w:hint="eastAsia"/>
          <w:b/>
          <w:color w:val="auto"/>
          <w:szCs w:val="21"/>
          <w:highlight w:val="auto"/>
        </w:rPr>
        <w:t>说明：</w:t>
      </w:r>
    </w:p>
    <w:p>
      <w:pPr>
        <w:pageBreakBefore w:val="0"/>
        <w:widowControl w:val="0"/>
        <w:kinsoku/>
        <w:overflowPunct/>
        <w:topLinePunct w:val="0"/>
        <w:bidi w:val="0"/>
        <w:spacing w:line="360" w:lineRule="auto"/>
        <w:ind w:firstLineChars="147" w:firstLine="309"/>
        <w:jc w:val="left"/>
        <w:rPr>
          <w:rFonts w:ascii="宋体" w:eastAsia="宋体" w:cs="宋体" w:hint="eastAsia"/>
          <w:b/>
          <w:color w:val="auto"/>
          <w:sz w:val="21"/>
          <w:szCs w:val="21"/>
          <w:highlight w:val="auto"/>
        </w:rPr>
      </w:pPr>
      <w:r>
        <w:rPr>
          <w:rFonts w:ascii="宋体" w:eastAsia="宋体" w:cs="宋体" w:hint="eastAsia"/>
          <w:b/>
          <w:color w:val="auto"/>
          <w:sz w:val="21"/>
          <w:szCs w:val="21"/>
          <w:highlight w:val="auto"/>
        </w:rPr>
        <w:t>从业人员、营业收入、资产总额填报上一年度数据，无上一年度数据的新成立企业可不填报。</w:t>
      </w: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r>
        <w:rPr>
          <w:rFonts w:ascii="宋体" w:eastAsia="宋体" w:cs="宋体" w:hint="eastAsia"/>
          <w:color w:val="auto"/>
          <w:sz w:val="21"/>
          <w:szCs w:val="21"/>
          <w:highlight w:val="auto"/>
        </w:rPr>
        <w:t xml:space="preserve">   注：</w:t>
      </w:r>
    </w:p>
    <w:p>
      <w:pPr>
        <w:pageBreakBefore w:val="0"/>
        <w:widowControl w:val="0"/>
        <w:kinsoku/>
        <w:overflowPunct/>
        <w:topLinePunct w:val="0"/>
        <w:bidi w:val="0"/>
        <w:spacing w:line="360" w:lineRule="auto"/>
        <w:ind w:right="42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highlight w:val="auto"/>
        </w:rPr>
        <w:t>1、填写要求：①“标的名称”、“采购文件中明确的所属行业”依据招标文件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pPr>
        <w:pageBreakBefore w:val="0"/>
        <w:widowControl w:val="0"/>
        <w:kinsoku/>
        <w:overflowPunct/>
        <w:topLinePunct w:val="0"/>
        <w:bidi w:val="0"/>
        <w:spacing w:line="360" w:lineRule="auto"/>
        <w:ind w:right="420" w:firstLineChars="300" w:firstLine="630"/>
        <w:rPr>
          <w:rFonts w:ascii="宋体" w:eastAsia="宋体" w:cs="宋体" w:hint="eastAsia"/>
          <w:color w:val="auto"/>
          <w:sz w:val="21"/>
          <w:szCs w:val="21"/>
          <w:highlight w:val="auto"/>
        </w:rPr>
      </w:pPr>
      <w:r>
        <w:rPr>
          <w:rFonts w:ascii="宋体" w:eastAsia="宋体" w:cs="宋体" w:hint="eastAsia"/>
          <w:color w:val="auto"/>
          <w:sz w:val="21"/>
          <w:szCs w:val="21"/>
          <w:highlight w:val="auto"/>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20" w:lineRule="exact"/>
        <w:ind w:left="20"/>
        <w:jc w:val="left"/>
        <w:rPr>
          <w:rFonts w:ascii="宋体" w:cs="宋体"/>
          <w:b/>
          <w:color w:val="auto"/>
          <w:szCs w:val="21"/>
          <w:highlight w:val="auto"/>
        </w:rPr>
      </w:pPr>
    </w:p>
    <w:p>
      <w:pPr>
        <w:pStyle w:val="24"/>
        <w:ind w:left="0"/>
        <w:rPr>
          <w:color w:val="auto"/>
          <w:highlight w:val="auto"/>
        </w:rPr>
      </w:pPr>
    </w:p>
    <w:p>
      <w:pPr>
        <w:pStyle w:val="24"/>
        <w:rPr>
          <w:color w:val="auto"/>
          <w:sz w:val="21"/>
          <w:szCs w:val="21"/>
          <w:highlight w:val="auto"/>
        </w:rPr>
        <w:sectPr>
          <w:footerReference w:type="default" r:id="rId12"/>
          <w:pgSz w:w="11911" w:h="16838"/>
          <w:pgMar w:top="1502" w:right="1378" w:bottom="1780" w:left="1582" w:header="0" w:footer="1378" w:gutter="0"/>
          <w:docGrid w:linePitch="312" w:charSpace="0"/>
        </w:sectPr>
      </w:pPr>
    </w:p>
    <w:p>
      <w:pPr>
        <w:spacing w:line="588" w:lineRule="exact"/>
        <w:rPr>
          <w:rFonts w:ascii="宋体" w:cs="宋体"/>
          <w:b/>
          <w:color w:val="auto"/>
          <w:szCs w:val="21"/>
          <w:highlight w:val="auto"/>
        </w:rPr>
      </w:pPr>
      <w:r>
        <w:rPr>
          <w:rFonts w:ascii="宋体"/>
          <w:b/>
          <w:color w:val="auto"/>
          <w:spacing w:val="6"/>
          <w:szCs w:val="21"/>
          <w:highlight w:val="auto"/>
        </w:rPr>
        <w:t>6.</w:t>
      </w:r>
      <w:r>
        <w:rPr>
          <w:rFonts w:ascii="宋体" w:hint="eastAsia"/>
          <w:b/>
          <w:color w:val="auto"/>
          <w:spacing w:val="6"/>
          <w:szCs w:val="21"/>
          <w:lang w:val="en-US" w:eastAsia="zh-CN"/>
          <w:highlight w:val="auto"/>
        </w:rPr>
        <w:t>5</w:t>
      </w:r>
      <w:r>
        <w:rPr>
          <w:rFonts w:ascii="宋体" w:cs="宋体" w:hint="eastAsia"/>
          <w:b/>
          <w:color w:val="auto"/>
          <w:szCs w:val="21"/>
          <w:highlight w:val="auto"/>
        </w:rPr>
        <w:t>投标人为监狱企业的证明文件</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olor w:val="auto"/>
          <w:spacing w:val="6"/>
          <w:szCs w:val="21"/>
          <w:highlight w:val="auto"/>
        </w:rPr>
      </w:pPr>
      <w:r>
        <w:rPr>
          <w:rFonts w:ascii="宋体" w:cs="宋体" w:hint="eastAsia"/>
          <w:b/>
          <w:color w:val="auto"/>
          <w:szCs w:val="21"/>
          <w:highlight w:val="auto"/>
        </w:rPr>
        <w:t>由省级以上监狱管理局、戒毒管理局（含新疆生产建设兵团）出具的投标人为监狱企业的证明文件（如有）</w:t>
      </w:r>
    </w:p>
    <w:p>
      <w:pPr>
        <w:autoSpaceDE w:val="0"/>
        <w:autoSpaceDN w:val="0"/>
        <w:adjustRightInd w:val="0"/>
        <w:spacing w:line="360" w:lineRule="auto"/>
        <w:rPr>
          <w:rFonts w:ascii="宋体"/>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sectPr>
          <w:pgSz w:w="11907" w:h="16840"/>
          <w:pgMar w:top="1361" w:right="1361" w:bottom="1361" w:left="1361" w:header="851" w:footer="992" w:gutter="0"/>
          <w:docGrid w:linePitch="312" w:charSpace="0"/>
        </w:sectPr>
      </w:pPr>
    </w:p>
    <w:p>
      <w:pPr>
        <w:spacing w:line="360" w:lineRule="auto"/>
        <w:rPr>
          <w:rFonts w:ascii="宋体" w:eastAsia="宋体"/>
          <w:b/>
          <w:bCs/>
          <w:color w:val="auto"/>
          <w:szCs w:val="21"/>
          <w:lang w:val="en-US" w:eastAsia="zh-CN"/>
          <w:highlight w:val="auto"/>
        </w:rPr>
      </w:pPr>
      <w:r>
        <w:rPr>
          <w:rFonts w:ascii="宋体"/>
          <w:b/>
          <w:bCs/>
          <w:color w:val="auto"/>
          <w:szCs w:val="21"/>
          <w:highlight w:val="auto"/>
        </w:rPr>
        <w:t>6.</w:t>
      </w:r>
      <w:r>
        <w:rPr>
          <w:rFonts w:ascii="宋体" w:hint="eastAsia"/>
          <w:b/>
          <w:bCs/>
          <w:color w:val="auto"/>
          <w:szCs w:val="21"/>
          <w:lang w:val="en-US" w:eastAsia="zh-CN"/>
          <w:highlight w:val="auto"/>
        </w:rPr>
        <w:t>6</w:t>
      </w:r>
    </w:p>
    <w:p>
      <w:pPr>
        <w:spacing w:line="360" w:lineRule="auto"/>
        <w:jc w:val="center"/>
        <w:rPr>
          <w:rFonts w:ascii="宋体" w:cs="宋体"/>
          <w:b/>
          <w:color w:val="auto"/>
          <w:spacing w:val="6"/>
          <w:szCs w:val="21"/>
          <w:highlight w:val="auto"/>
        </w:rPr>
      </w:pPr>
      <w:r>
        <w:rPr>
          <w:rFonts w:ascii="宋体" w:cs="宋体" w:hint="eastAsia"/>
          <w:b/>
          <w:color w:val="auto"/>
          <w:spacing w:val="6"/>
          <w:szCs w:val="21"/>
          <w:highlight w:val="auto"/>
        </w:rPr>
        <w:t>残疾人福利性单位声明函</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本单位郑重声明，根据《财政部</w:t>
      </w:r>
      <w:r>
        <w:rPr>
          <w:rFonts w:ascii="宋体" w:cs="宋体"/>
          <w:color w:val="auto"/>
          <w:spacing w:val="6"/>
          <w:szCs w:val="21"/>
          <w:highlight w:val="auto"/>
        </w:rPr>
        <w:t xml:space="preserve"> </w:t>
      </w:r>
      <w:r>
        <w:rPr>
          <w:rFonts w:ascii="宋体" w:cs="宋体" w:hint="eastAsia"/>
          <w:color w:val="auto"/>
          <w:spacing w:val="6"/>
          <w:szCs w:val="21"/>
          <w:highlight w:val="auto"/>
        </w:rPr>
        <w:t>民政部</w:t>
      </w:r>
      <w:r>
        <w:rPr>
          <w:rFonts w:ascii="宋体" w:cs="宋体"/>
          <w:color w:val="auto"/>
          <w:spacing w:val="6"/>
          <w:szCs w:val="21"/>
          <w:highlight w:val="auto"/>
        </w:rPr>
        <w:t xml:space="preserve"> </w:t>
      </w:r>
      <w:r>
        <w:rPr>
          <w:rFonts w:ascii="宋体" w:cs="宋体" w:hint="eastAsia"/>
          <w:color w:val="auto"/>
          <w:spacing w:val="6"/>
          <w:szCs w:val="21"/>
          <w:highlight w:val="auto"/>
        </w:rPr>
        <w:t>中国残疾人联合会关于促进残疾人就业政府采购政策的通知》（财库</w:t>
      </w:r>
      <w:r>
        <w:rPr>
          <w:rFonts w:ascii="宋体" w:cs="宋体"/>
          <w:color w:val="auto"/>
          <w:szCs w:val="21"/>
          <w:highlight w:val="auto"/>
        </w:rPr>
        <w:t>[2017]141</w:t>
      </w:r>
      <w:r>
        <w:rPr>
          <w:rFonts w:ascii="宋体" w:cs="宋体" w:hint="eastAsia"/>
          <w:color w:val="auto"/>
          <w:spacing w:val="6"/>
          <w:szCs w:val="21"/>
          <w:highlight w:val="auto"/>
        </w:rPr>
        <w:t>号）的规定，本单位为符合条件的残疾人福利性单位，且本单位参加</w:t>
      </w:r>
      <w:r>
        <w:rPr>
          <w:rFonts w:ascii="宋体" w:cs="宋体" w:hint="eastAsia"/>
          <w:bCs/>
          <w:color w:val="auto"/>
          <w:spacing w:val="-6"/>
          <w:szCs w:val="21"/>
          <w:highlight w:val="auto"/>
        </w:rPr>
        <w:t>嘉兴海关综合技术服务中心</w:t>
      </w:r>
      <w:r>
        <w:rPr>
          <w:rFonts w:ascii="宋体" w:cs="宋体"/>
          <w:bCs/>
          <w:color w:val="auto"/>
          <w:spacing w:val="-6"/>
          <w:szCs w:val="21"/>
          <w:highlight w:val="auto"/>
        </w:rPr>
        <w:t xml:space="preserve">      </w:t>
      </w:r>
      <w:r>
        <w:rPr>
          <w:rFonts w:ascii="宋体" w:cs="宋体" w:hint="eastAsia"/>
          <w:color w:val="auto"/>
          <w:spacing w:val="6"/>
          <w:szCs w:val="21"/>
          <w:highlight w:val="auto"/>
        </w:rPr>
        <w:t>活动提供本单位制造的货物，或者提供其他残疾人福利性单位制造的货物（不包括使用非残疾人福利性单位注册商标的货物）。</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本单位对上述声明的真实性负责。如有虚假，将依法承担相应责任。</w:t>
      </w:r>
    </w:p>
    <w:p>
      <w:pPr>
        <w:spacing w:line="360" w:lineRule="auto"/>
        <w:rPr>
          <w:rFonts w:ascii="宋体" w:cs="宋体"/>
          <w:color w:val="auto"/>
          <w:spacing w:val="-6"/>
          <w:szCs w:val="21"/>
          <w:highlight w:val="auto"/>
        </w:rPr>
      </w:pP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供应商名称（盖章）：</w:t>
      </w: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供应商授权代表签字：</w:t>
      </w:r>
    </w:p>
    <w:p>
      <w:pPr>
        <w:spacing w:line="360" w:lineRule="auto"/>
        <w:ind w:rightChars="-389" w:right="-817"/>
        <w:rPr>
          <w:rFonts w:ascii="宋体" w:cs="宋体"/>
          <w:bCs/>
          <w:color w:val="auto"/>
          <w:spacing w:val="-6"/>
          <w:szCs w:val="21"/>
          <w:highlight w:val="auto"/>
        </w:rPr>
      </w:pPr>
      <w:r>
        <w:rPr>
          <w:rFonts w:ascii="宋体" w:cs="宋体" w:hint="eastAsia"/>
          <w:bCs/>
          <w:color w:val="auto"/>
          <w:spacing w:val="-6"/>
          <w:szCs w:val="21"/>
          <w:highlight w:val="auto"/>
        </w:rPr>
        <w:t>日期：</w:t>
      </w:r>
      <w:r>
        <w:rPr>
          <w:rFonts w:ascii="宋体" w:cs="宋体"/>
          <w:bCs/>
          <w:color w:val="auto"/>
          <w:spacing w:val="-6"/>
          <w:szCs w:val="21"/>
          <w:highlight w:val="auto"/>
        </w:rPr>
        <w:t xml:space="preserve">    </w:t>
      </w:r>
      <w:r>
        <w:rPr>
          <w:rFonts w:ascii="宋体" w:cs="宋体" w:hint="eastAsia"/>
          <w:bCs/>
          <w:color w:val="auto"/>
          <w:spacing w:val="-6"/>
          <w:szCs w:val="21"/>
          <w:highlight w:val="auto"/>
        </w:rPr>
        <w:t>年</w:t>
      </w:r>
      <w:r>
        <w:rPr>
          <w:rFonts w:ascii="宋体" w:cs="宋体"/>
          <w:bCs/>
          <w:color w:val="auto"/>
          <w:spacing w:val="-6"/>
          <w:szCs w:val="21"/>
          <w:highlight w:val="auto"/>
        </w:rPr>
        <w:t xml:space="preserve">  </w:t>
      </w:r>
      <w:r>
        <w:rPr>
          <w:rFonts w:ascii="宋体" w:cs="宋体" w:hint="eastAsia"/>
          <w:bCs/>
          <w:color w:val="auto"/>
          <w:spacing w:val="-6"/>
          <w:szCs w:val="21"/>
          <w:highlight w:val="auto"/>
        </w:rPr>
        <w:t>月</w:t>
      </w:r>
      <w:r>
        <w:rPr>
          <w:rFonts w:ascii="宋体" w:cs="宋体"/>
          <w:bCs/>
          <w:color w:val="auto"/>
          <w:spacing w:val="-6"/>
          <w:szCs w:val="21"/>
          <w:highlight w:val="auto"/>
        </w:rPr>
        <w:t xml:space="preserve">  </w:t>
      </w:r>
      <w:r>
        <w:rPr>
          <w:rFonts w:ascii="宋体" w:cs="宋体" w:hint="eastAsia"/>
          <w:bCs/>
          <w:color w:val="auto"/>
          <w:spacing w:val="-6"/>
          <w:szCs w:val="21"/>
          <w:highlight w:val="auto"/>
        </w:rPr>
        <w:t>日</w:t>
      </w:r>
    </w:p>
    <w:p>
      <w:pPr>
        <w:spacing w:line="360" w:lineRule="auto"/>
        <w:ind w:firstLineChars="200" w:firstLine="444"/>
        <w:jc w:val="left"/>
        <w:rPr>
          <w:rFonts w:ascii="宋体" w:cs="宋体"/>
          <w:b/>
          <w:bCs/>
          <w:color w:val="auto"/>
          <w:szCs w:val="21"/>
          <w:highlight w:val="auto"/>
        </w:rPr>
      </w:pPr>
      <w:r>
        <w:rPr>
          <w:rFonts w:ascii="宋体" w:cs="宋体" w:hint="eastAsia"/>
          <w:b/>
          <w:color w:val="auto"/>
          <w:spacing w:val="6"/>
          <w:szCs w:val="21"/>
          <w:highlight w:val="auto"/>
        </w:rPr>
        <w:t>供应商不属于残疾人福利性单位的，无需提供此声明函，如提供所引起的后果由供应商承担。</w:t>
      </w:r>
    </w:p>
    <w:p>
      <w:pPr>
        <w:pStyle w:val="1"/>
        <w:numPr>
          <w:ilvl w:val="0"/>
          <w:numId w:val="0"/>
        </w:numPr>
        <w:rPr>
          <w:color w:val="auto"/>
          <w:lang w:val="en-US" w:eastAsia="zh-CN"/>
          <w:highlight w:val="auto"/>
        </w:rPr>
      </w:pPr>
    </w:p>
    <w:p>
      <w:pPr>
        <w:rPr>
          <w:color w:val="auto"/>
          <w:lang w:val="en-US" w:eastAsia="zh-CN"/>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0" w:firstLineChars="200" w:firstLine="420"/>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6.7本项目不接受进口产品投标（进口产品是指通过中国海关报关，验放进入中国境内，且产自关境外的产品），请提供承诺所投产品均为国产设备的承诺函（格式自拟）</w:t>
      </w: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bookmarkEnd w:id="115"/>
      <w:bookmarkEnd w:id="116"/>
      <w:bookmarkEnd w:id="117"/>
      <w:bookmarkEnd w:id="118"/>
      <w:bookmarkEnd w:id="119"/>
      <w:bookmarkEnd w:id="120"/>
      <w:bookmarkEnd w:id="121"/>
      <w:bookmarkEnd w:id="122"/>
      <w:bookmarkEnd w:id="123"/>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6.8评分索引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5"/>
        <w:gridCol w:w="2131"/>
        <w:gridCol w:w="1453"/>
        <w:gridCol w:w="1876"/>
        <w:gridCol w:w="1350"/>
        <w:gridCol w:w="1135"/>
      </w:tblGrid>
      <w:tr>
        <w:tc>
          <w:tcPr>
            <w:tcW w:w="77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序号</w:t>
            </w:r>
          </w:p>
        </w:tc>
        <w:tc>
          <w:tcPr>
            <w:tcW w:w="2131"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评审内容</w:t>
            </w:r>
          </w:p>
        </w:tc>
        <w:tc>
          <w:tcPr>
            <w:tcW w:w="1453"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招标文件要求</w:t>
            </w:r>
          </w:p>
        </w:tc>
        <w:tc>
          <w:tcPr>
            <w:tcW w:w="1876"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投标文件响应内容</w:t>
            </w:r>
          </w:p>
        </w:tc>
        <w:tc>
          <w:tcPr>
            <w:tcW w:w="1350"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自评分</w:t>
            </w:r>
          </w:p>
        </w:tc>
        <w:tc>
          <w:tcPr>
            <w:tcW w:w="113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页码</w:t>
            </w: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1</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2</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3</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4</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5</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bl>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r>
        <w:rPr>
          <w:rFonts w:cs="宋体"/>
          <w:color w:val="auto"/>
          <w:szCs w:val="28"/>
          <w:highlight w:val="auto"/>
        </w:rPr>
        <w:br w:type="page"/>
      </w:r>
      <w:bookmarkStart w:id="124" w:name="_Toc468296148"/>
      <w:bookmarkStart w:id="125" w:name="_Toc15806"/>
      <w:bookmarkStart w:id="126" w:name="_Toc371002592"/>
      <w:bookmarkStart w:id="127" w:name="_Toc60757543"/>
      <w:bookmarkStart w:id="128" w:name="_Toc368993660"/>
    </w:p>
    <w:p>
      <w:pPr>
        <w:pStyle w:val="2"/>
        <w:numPr>
          <w:ilvl w:val="0"/>
          <w:numId w:val="0"/>
        </w:numPr>
        <w:tabs>
          <w:tab w:val="clear" w:pos="425"/>
        </w:tabs>
        <w:adjustRightInd w:val="0"/>
        <w:snapToGrid w:val="0"/>
        <w:spacing w:beforeLines="50" w:before="190" w:after="0" w:line="360" w:lineRule="auto"/>
        <w:rPr>
          <w:rFonts w:ascii="宋体" w:eastAsia="宋体"/>
          <w:b w:val="0"/>
          <w:color w:val="auto"/>
          <w:sz w:val="24"/>
          <w:szCs w:val="24"/>
          <w:highlight w:val="auto"/>
        </w:rPr>
      </w:pPr>
      <w:r>
        <w:rPr>
          <w:rFonts w:ascii="宋体" w:eastAsia="宋体" w:hint="eastAsia"/>
          <w:color w:val="auto"/>
          <w:sz w:val="24"/>
          <w:szCs w:val="24"/>
          <w:lang w:val="en-US" w:eastAsia="zh-CN"/>
          <w:highlight w:val="auto"/>
        </w:rPr>
        <w:t>6.9</w:t>
      </w:r>
      <w:r>
        <w:rPr>
          <w:rFonts w:ascii="宋体" w:eastAsia="宋体" w:hint="eastAsia"/>
          <w:color w:val="auto"/>
          <w:sz w:val="24"/>
          <w:szCs w:val="24"/>
          <w:highlight w:val="auto"/>
        </w:rPr>
        <w:t>法定代表人身份证明</w:t>
      </w:r>
    </w:p>
    <w:p>
      <w:pPr>
        <w:pStyle w:val="15"/>
        <w:spacing w:line="360" w:lineRule="auto"/>
        <w:ind w:firstLineChars="200" w:firstLine="480"/>
        <w:rPr>
          <w:rFonts w:ascii="宋体" w:eastAsia="宋体"/>
          <w:bCs/>
          <w:color w:val="auto"/>
          <w:sz w:val="24"/>
          <w:szCs w:val="24"/>
          <w:highlight w:val="auto"/>
        </w:rPr>
      </w:pPr>
    </w:p>
    <w:p>
      <w:pPr>
        <w:pStyle w:val="15"/>
        <w:spacing w:line="360" w:lineRule="auto"/>
        <w:ind w:firstLineChars="200" w:firstLine="420"/>
        <w:rPr>
          <w:rFonts w:ascii="宋体" w:eastAsia="宋体"/>
          <w:bCs/>
          <w:color w:val="auto"/>
          <w:sz w:val="21"/>
          <w:szCs w:val="21"/>
          <w:highlight w:val="auto"/>
        </w:rPr>
      </w:pPr>
      <w:r>
        <w:rPr>
          <w:rFonts w:ascii="宋体" w:eastAsia="宋体" w:hint="eastAsia"/>
          <w:bCs/>
          <w:color w:val="auto"/>
          <w:sz w:val="21"/>
          <w:szCs w:val="21"/>
          <w:highlight w:val="auto"/>
        </w:rPr>
        <w:t>供应商名称：</w:t>
      </w:r>
      <w:r>
        <w:rPr>
          <w:rFonts w:ascii="宋体" w:eastAsia="宋体"/>
          <w:bCs/>
          <w:color w:val="auto"/>
          <w:sz w:val="21"/>
          <w:szCs w:val="21"/>
          <w:highlight w:val="auto"/>
        </w:rPr>
        <w:t>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单位性质：</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地址：</w:t>
      </w:r>
      <w:r>
        <w:rPr>
          <w:rFonts w:ascii="宋体" w:eastAsia="宋体"/>
          <w:bCs/>
          <w:color w:val="auto"/>
          <w:sz w:val="21"/>
          <w:szCs w:val="21"/>
          <w:highlight w:val="auto"/>
        </w:rPr>
        <w:t>_____________________________________.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成立时间：</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经营期限：</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姓名：</w:t>
      </w:r>
      <w:r>
        <w:rPr>
          <w:rFonts w:ascii="宋体" w:eastAsia="宋体"/>
          <w:bCs/>
          <w:color w:val="auto"/>
          <w:sz w:val="21"/>
          <w:szCs w:val="21"/>
          <w:highlight w:val="auto"/>
        </w:rPr>
        <w:t>_______</w:t>
      </w:r>
      <w:r>
        <w:rPr>
          <w:rFonts w:ascii="宋体" w:eastAsia="宋体" w:hint="eastAsia"/>
          <w:bCs/>
          <w:color w:val="auto"/>
          <w:sz w:val="21"/>
          <w:szCs w:val="21"/>
          <w:highlight w:val="auto"/>
        </w:rPr>
        <w:t>性别：</w:t>
      </w:r>
      <w:r>
        <w:rPr>
          <w:rFonts w:ascii="宋体" w:eastAsia="宋体"/>
          <w:bCs/>
          <w:color w:val="auto"/>
          <w:sz w:val="21"/>
          <w:szCs w:val="21"/>
          <w:highlight w:val="auto"/>
        </w:rPr>
        <w:t>______</w:t>
      </w:r>
      <w:r>
        <w:rPr>
          <w:rFonts w:ascii="宋体" w:eastAsia="宋体" w:hint="eastAsia"/>
          <w:bCs/>
          <w:color w:val="auto"/>
          <w:sz w:val="21"/>
          <w:szCs w:val="21"/>
          <w:highlight w:val="auto"/>
        </w:rPr>
        <w:t>年龄：</w:t>
      </w:r>
      <w:r>
        <w:rPr>
          <w:rFonts w:ascii="宋体" w:eastAsia="宋体"/>
          <w:bCs/>
          <w:color w:val="auto"/>
          <w:sz w:val="21"/>
          <w:szCs w:val="21"/>
          <w:highlight w:val="auto"/>
        </w:rPr>
        <w:t>_____</w:t>
      </w:r>
      <w:r>
        <w:rPr>
          <w:rFonts w:ascii="宋体" w:eastAsia="宋体" w:hint="eastAsia"/>
          <w:bCs/>
          <w:color w:val="auto"/>
          <w:sz w:val="21"/>
          <w:szCs w:val="21"/>
          <w:highlight w:val="auto"/>
        </w:rPr>
        <w:t>职务：</w:t>
      </w:r>
      <w:r>
        <w:rPr>
          <w:rFonts w:ascii="宋体" w:eastAsia="宋体"/>
          <w:bCs/>
          <w:color w:val="auto"/>
          <w:sz w:val="21"/>
          <w:szCs w:val="21"/>
          <w:highlight w:val="auto"/>
        </w:rPr>
        <w:t>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系</w:t>
      </w:r>
      <w:r>
        <w:rPr>
          <w:rFonts w:ascii="宋体" w:eastAsia="宋体"/>
          <w:bCs/>
          <w:color w:val="auto"/>
          <w:sz w:val="21"/>
          <w:szCs w:val="21"/>
          <w:highlight w:val="auto"/>
        </w:rPr>
        <w:t>_____________________</w:t>
      </w:r>
      <w:r>
        <w:rPr>
          <w:rFonts w:ascii="宋体" w:eastAsia="宋体" w:hint="eastAsia"/>
          <w:bCs/>
          <w:color w:val="auto"/>
          <w:sz w:val="21"/>
          <w:szCs w:val="21"/>
          <w:highlight w:val="auto"/>
        </w:rPr>
        <w:t>（供应商名称）的法定代表人。</w:t>
      </w:r>
    </w:p>
    <w:p>
      <w:pPr>
        <w:pStyle w:val="15"/>
        <w:spacing w:line="360" w:lineRule="auto"/>
        <w:ind w:firstLineChars="175" w:firstLine="368"/>
        <w:rPr>
          <w:rFonts w:ascii="宋体" w:eastAsia="宋体"/>
          <w:b/>
          <w:bCs/>
          <w:color w:val="auto"/>
          <w:sz w:val="21"/>
          <w:szCs w:val="21"/>
          <w:highlight w:val="auto"/>
        </w:rPr>
      </w:pPr>
      <w:r>
        <w:rPr>
          <w:rFonts w:ascii="宋体" w:eastAsia="宋体"/>
          <w:bCs/>
          <w:color w:val="auto"/>
          <w:sz w:val="21"/>
          <w:szCs w:val="21"/>
          <w:highlight w:val="auto"/>
        </w:rPr>
        <w:t xml:space="preserve">       </w:t>
      </w:r>
      <w:r>
        <w:rPr>
          <w:rFonts w:ascii="宋体" w:eastAsia="宋体" w:hint="eastAsia"/>
          <w:bCs/>
          <w:color w:val="auto"/>
          <w:sz w:val="21"/>
          <w:szCs w:val="21"/>
          <w:highlight w:val="auto"/>
        </w:rPr>
        <w:t>特此证明</w:t>
      </w:r>
    </w:p>
    <w:p>
      <w:pPr>
        <w:pStyle w:val="15"/>
        <w:spacing w:line="360" w:lineRule="auto"/>
        <w:ind w:firstLineChars="1900" w:firstLine="3990"/>
        <w:rPr>
          <w:rFonts w:ascii="宋体" w:eastAsia="宋体"/>
          <w:bCs/>
          <w:color w:val="auto"/>
          <w:sz w:val="21"/>
          <w:szCs w:val="21"/>
          <w:highlight w:val="auto"/>
        </w:rPr>
      </w:pPr>
      <w:r>
        <w:rPr>
          <w:rFonts w:ascii="宋体" w:eastAsia="宋体" w:hint="eastAsia"/>
          <w:bCs/>
          <w:color w:val="auto"/>
          <w:sz w:val="21"/>
          <w:szCs w:val="21"/>
          <w:lang w:val="en-US" w:eastAsia="zh-CN"/>
          <w:highlight w:val="auto"/>
        </w:rPr>
        <w:t>投标人</w:t>
      </w:r>
      <w:r>
        <w:rPr>
          <w:rFonts w:ascii="宋体" w:eastAsia="宋体" w:hint="eastAsia"/>
          <w:bCs/>
          <w:color w:val="auto"/>
          <w:sz w:val="21"/>
          <w:szCs w:val="21"/>
          <w:highlight w:val="auto"/>
        </w:rPr>
        <w:t>：</w:t>
      </w:r>
      <w:r>
        <w:rPr>
          <w:rFonts w:ascii="宋体" w:eastAsia="宋体"/>
          <w:bCs/>
          <w:color w:val="auto"/>
          <w:sz w:val="21"/>
          <w:szCs w:val="21"/>
          <w:highlight w:val="auto"/>
        </w:rPr>
        <w:t>_______________</w:t>
      </w:r>
      <w:r>
        <w:rPr>
          <w:rFonts w:ascii="宋体" w:eastAsia="宋体" w:hint="eastAsia"/>
          <w:bCs/>
          <w:color w:val="auto"/>
          <w:sz w:val="21"/>
          <w:szCs w:val="21"/>
          <w:highlight w:val="auto"/>
        </w:rPr>
        <w:t>（盖单位章）</w:t>
      </w:r>
    </w:p>
    <w:p>
      <w:pPr>
        <w:pStyle w:val="15"/>
        <w:spacing w:line="360" w:lineRule="auto"/>
        <w:ind w:firstLineChars="1950" w:firstLine="4095"/>
        <w:rPr>
          <w:rFonts w:ascii="宋体" w:eastAsia="宋体"/>
          <w:bCs/>
          <w:color w:val="auto"/>
          <w:sz w:val="21"/>
          <w:szCs w:val="21"/>
          <w:highlight w:val="auto"/>
        </w:rPr>
      </w:pPr>
      <w:r>
        <w:rPr>
          <w:rFonts w:ascii="宋体" w:eastAsia="宋体"/>
          <w:bCs/>
          <w:color w:val="auto"/>
          <w:sz w:val="21"/>
          <w:szCs w:val="21"/>
          <w:highlight w:val="auto"/>
        </w:rPr>
        <w:t>_________</w:t>
      </w:r>
      <w:r>
        <w:rPr>
          <w:rFonts w:ascii="宋体" w:eastAsia="宋体" w:hint="eastAsia"/>
          <w:bCs/>
          <w:color w:val="auto"/>
          <w:sz w:val="21"/>
          <w:szCs w:val="21"/>
          <w:highlight w:val="auto"/>
        </w:rPr>
        <w:t>年</w:t>
      </w:r>
      <w:r>
        <w:rPr>
          <w:rFonts w:ascii="宋体" w:eastAsia="宋体"/>
          <w:bCs/>
          <w:color w:val="auto"/>
          <w:sz w:val="21"/>
          <w:szCs w:val="21"/>
          <w:highlight w:val="auto"/>
        </w:rPr>
        <w:t>_________</w:t>
      </w:r>
      <w:r>
        <w:rPr>
          <w:rFonts w:ascii="宋体" w:eastAsia="宋体" w:hint="eastAsia"/>
          <w:bCs/>
          <w:color w:val="auto"/>
          <w:sz w:val="21"/>
          <w:szCs w:val="21"/>
          <w:highlight w:val="auto"/>
        </w:rPr>
        <w:t>月</w:t>
      </w:r>
      <w:r>
        <w:rPr>
          <w:rFonts w:ascii="宋体" w:eastAsia="宋体"/>
          <w:bCs/>
          <w:color w:val="auto"/>
          <w:sz w:val="21"/>
          <w:szCs w:val="21"/>
          <w:highlight w:val="auto"/>
        </w:rPr>
        <w:t>_______</w:t>
      </w:r>
      <w:r>
        <w:rPr>
          <w:rFonts w:ascii="宋体" w:eastAsia="宋体" w:hint="eastAsia"/>
          <w:bCs/>
          <w:color w:val="auto"/>
          <w:sz w:val="21"/>
          <w:szCs w:val="21"/>
          <w:highlight w:val="auto"/>
        </w:rPr>
        <w:t>日</w:t>
      </w:r>
    </w:p>
    <w:p>
      <w:pPr>
        <w:pStyle w:val="15"/>
        <w:spacing w:line="360" w:lineRule="auto"/>
        <w:ind w:firstLineChars="1950" w:firstLine="4095"/>
        <w:rPr>
          <w:rFonts w:ascii="宋体" w:eastAsia="宋体"/>
          <w:bCs/>
          <w:color w:val="auto"/>
          <w:sz w:val="21"/>
          <w:szCs w:val="21"/>
          <w:highlight w:val="auto"/>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060"/>
        </w:trPr>
        <w:tc>
          <w:tcPr>
            <w:tcW w:w="8720" w:type="dxa"/>
          </w:tcPr>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法定代表人有效、清晰身份证复印件或扫描件</w:t>
            </w:r>
          </w:p>
          <w:p>
            <w:pPr>
              <w:pStyle w:val="15"/>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tc>
      </w:tr>
    </w:tbl>
    <w:p>
      <w:pPr>
        <w:pStyle w:val="15"/>
        <w:spacing w:line="360" w:lineRule="auto"/>
        <w:ind w:firstLineChars="1950" w:firstLine="4680"/>
        <w:rPr>
          <w:rFonts w:ascii="宋体" w:eastAsia="宋体"/>
          <w:bCs/>
          <w:color w:val="auto"/>
          <w:sz w:val="24"/>
          <w:szCs w:val="24"/>
          <w:highlight w:val="auto"/>
        </w:rPr>
      </w:pPr>
    </w:p>
    <w:p>
      <w:pPr>
        <w:pStyle w:val="15"/>
        <w:spacing w:line="360" w:lineRule="auto"/>
        <w:ind w:firstLineChars="1950" w:firstLine="4680"/>
        <w:rPr>
          <w:rFonts w:ascii="宋体" w:eastAsia="宋体"/>
          <w:bCs/>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b w:val="0"/>
          <w:color w:val="auto"/>
          <w:sz w:val="24"/>
          <w:szCs w:val="24"/>
          <w:highlight w:val="auto"/>
        </w:rPr>
      </w:pPr>
      <w:r>
        <w:rPr>
          <w:rFonts w:ascii="宋体" w:eastAsia="宋体"/>
          <w:color w:val="auto"/>
          <w:sz w:val="24"/>
          <w:szCs w:val="24"/>
          <w:highlight w:val="auto"/>
        </w:rPr>
        <w:t>6.</w:t>
      </w:r>
      <w:r>
        <w:rPr>
          <w:rFonts w:ascii="宋体" w:eastAsia="宋体" w:hint="eastAsia"/>
          <w:color w:val="auto"/>
          <w:sz w:val="24"/>
          <w:szCs w:val="24"/>
          <w:lang w:val="en-US" w:eastAsia="zh-CN"/>
          <w:highlight w:val="auto"/>
        </w:rPr>
        <w:t>10</w:t>
      </w:r>
      <w:r>
        <w:rPr>
          <w:rFonts w:ascii="宋体" w:eastAsia="宋体" w:hint="eastAsia"/>
          <w:color w:val="auto"/>
          <w:sz w:val="24"/>
          <w:szCs w:val="24"/>
          <w:highlight w:val="auto"/>
        </w:rPr>
        <w:t>法定代表人授权书</w:t>
      </w:r>
    </w:p>
    <w:p>
      <w:pPr>
        <w:pStyle w:val="15"/>
        <w:spacing w:line="240" w:lineRule="auto"/>
        <w:rPr>
          <w:rFonts w:ascii="宋体" w:eastAsia="宋体"/>
          <w:color w:val="auto"/>
          <w:sz w:val="24"/>
          <w:szCs w:val="24"/>
          <w:highlight w:val="auto"/>
        </w:rPr>
      </w:pPr>
    </w:p>
    <w:p>
      <w:pPr>
        <w:jc w:val="center"/>
        <w:rPr>
          <w:rFonts w:ascii="宋体"/>
          <w:b/>
          <w:color w:val="auto"/>
          <w:sz w:val="24"/>
          <w:highlight w:val="auto"/>
        </w:rPr>
      </w:pPr>
      <w:r>
        <w:rPr>
          <w:rFonts w:ascii="宋体" w:hint="eastAsia"/>
          <w:b/>
          <w:color w:val="auto"/>
          <w:sz w:val="24"/>
          <w:highlight w:val="auto"/>
        </w:rPr>
        <w:t>法定代表人授权委托书</w:t>
      </w:r>
    </w:p>
    <w:p>
      <w:pPr>
        <w:jc w:val="center"/>
        <w:rPr>
          <w:rFonts w:ascii="宋体"/>
          <w:b/>
          <w:bCs/>
          <w:color w:val="auto"/>
          <w:sz w:val="24"/>
          <w:highlight w:val="auto"/>
        </w:rPr>
      </w:pPr>
    </w:p>
    <w:p>
      <w:pPr>
        <w:spacing w:line="360" w:lineRule="auto"/>
        <w:rPr>
          <w:rFonts w:ascii="宋体"/>
          <w:b/>
          <w:bCs/>
          <w:color w:val="auto"/>
          <w:sz w:val="24"/>
          <w:u w:val="single"/>
          <w:highlight w:val="auto"/>
        </w:rPr>
      </w:pPr>
      <w:r>
        <w:rPr>
          <w:rFonts w:ascii="宋体" w:hint="eastAsia"/>
          <w:b/>
          <w:bCs/>
          <w:color w:val="auto"/>
          <w:kern w:val="11"/>
          <w:sz w:val="24"/>
          <w:u w:val="single"/>
          <w:highlight w:val="auto"/>
        </w:rPr>
        <w:t>（采购人）</w:t>
      </w:r>
      <w:r>
        <w:rPr>
          <w:rFonts w:ascii="宋体" w:hint="eastAsia"/>
          <w:b/>
          <w:bCs/>
          <w:color w:val="auto"/>
          <w:sz w:val="24"/>
          <w:u w:val="single"/>
          <w:highlight w:val="auto"/>
        </w:rPr>
        <w:t>：</w:t>
      </w:r>
    </w:p>
    <w:p>
      <w:pPr>
        <w:spacing w:line="360" w:lineRule="auto"/>
        <w:ind w:firstLineChars="200" w:firstLine="420"/>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（供应商名称）法定代表人</w:t>
      </w:r>
      <w:r>
        <w:rPr>
          <w:rFonts w:ascii="宋体"/>
          <w:color w:val="auto"/>
          <w:szCs w:val="21"/>
          <w:u w:val="single"/>
          <w:highlight w:val="auto"/>
        </w:rPr>
        <w:t xml:space="preserve">            </w:t>
      </w:r>
      <w:r>
        <w:rPr>
          <w:rFonts w:ascii="宋体" w:hint="eastAsia"/>
          <w:color w:val="auto"/>
          <w:szCs w:val="21"/>
          <w:highlight w:val="auto"/>
        </w:rPr>
        <w:t>授权我单位（职务或职称）</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（姓名）为我单位本次投标授权代理人，全权处理</w:t>
      </w:r>
      <w:r>
        <w:rPr>
          <w:rFonts w:ascii="宋体"/>
          <w:color w:val="auto"/>
          <w:szCs w:val="21"/>
          <w:u w:val="single"/>
          <w:highlight w:val="auto"/>
        </w:rPr>
        <w:t xml:space="preserve">                  </w:t>
      </w:r>
      <w:r>
        <w:rPr>
          <w:rFonts w:ascii="宋体" w:hint="eastAsia"/>
          <w:color w:val="auto"/>
          <w:szCs w:val="21"/>
          <w:u w:val="single"/>
          <w:highlight w:val="auto"/>
        </w:rPr>
        <w:t>招标</w:t>
      </w:r>
      <w:r>
        <w:rPr>
          <w:rFonts w:ascii="宋体" w:hint="eastAsia"/>
          <w:color w:val="auto"/>
          <w:szCs w:val="21"/>
          <w:highlight w:val="auto"/>
        </w:rPr>
        <w:t>采购项目投标活动的一切事宜。该授权代理人作出的所有承诺说明，我单位均予于认可并承担全部责任。</w:t>
      </w:r>
    </w:p>
    <w:p>
      <w:pPr>
        <w:spacing w:line="360" w:lineRule="auto"/>
        <w:ind w:firstLineChars="300" w:firstLine="630"/>
        <w:rPr>
          <w:rFonts w:ascii="宋体"/>
          <w:color w:val="auto"/>
          <w:szCs w:val="21"/>
          <w:highlight w:val="auto"/>
        </w:rPr>
      </w:pPr>
      <w:r>
        <w:rPr>
          <w:rFonts w:ascii="宋体" w:hint="eastAsia"/>
          <w:color w:val="auto"/>
          <w:szCs w:val="21"/>
          <w:highlight w:val="auto"/>
        </w:rPr>
        <w:t>特此授权。有效期同投标有效期。</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法定代表人：</w:t>
      </w:r>
      <w:r>
        <w:rPr>
          <w:rFonts w:ascii="宋体"/>
          <w:color w:val="auto"/>
          <w:szCs w:val="21"/>
          <w:u w:val="single"/>
          <w:highlight w:val="auto"/>
        </w:rPr>
        <w:t xml:space="preserve">                             </w:t>
      </w:r>
      <w:r>
        <w:rPr>
          <w:rFonts w:ascii="宋体" w:hint="eastAsia"/>
          <w:color w:val="auto"/>
          <w:szCs w:val="21"/>
          <w:highlight w:val="auto"/>
        </w:rPr>
        <w:t>（签字或盖章）</w:t>
      </w:r>
    </w:p>
    <w:p>
      <w:pPr>
        <w:wordWrap w:val="0"/>
        <w:spacing w:after="120" w:line="360" w:lineRule="auto"/>
        <w:ind w:right="240"/>
        <w:jc w:val="right"/>
        <w:rPr>
          <w:rFonts w:ascii="宋体"/>
          <w:color w:val="auto"/>
          <w:szCs w:val="21"/>
          <w:highlight w:val="auto"/>
        </w:rPr>
      </w:pPr>
      <w:r>
        <w:rPr>
          <w:rFonts w:ascii="宋体" w:hint="eastAsia"/>
          <w:color w:val="auto"/>
          <w:szCs w:val="21"/>
          <w:highlight w:val="auto"/>
        </w:rPr>
        <w:t xml:space="preserve">     委托代理人：</w:t>
      </w:r>
      <w:r>
        <w:rPr>
          <w:rFonts w:ascii="宋体"/>
          <w:color w:val="auto"/>
          <w:szCs w:val="21"/>
          <w:u w:val="single"/>
          <w:highlight w:val="auto"/>
        </w:rPr>
        <w:t xml:space="preserve">                     </w:t>
      </w:r>
      <w:r>
        <w:rPr>
          <w:rFonts w:ascii="宋体" w:hint="eastAsia"/>
          <w:color w:val="auto"/>
          <w:szCs w:val="21"/>
          <w:highlight w:val="auto"/>
        </w:rPr>
        <w:t>（签字签字或盖章）</w:t>
      </w:r>
      <w:r>
        <w:rPr>
          <w:rFonts w:ascii="宋体"/>
          <w:color w:val="auto"/>
          <w:szCs w:val="21"/>
          <w:highlight w:val="auto"/>
        </w:rPr>
        <w:t xml:space="preserve">          </w:t>
      </w:r>
    </w:p>
    <w:p>
      <w:pPr>
        <w:wordWrap w:val="0"/>
        <w:spacing w:after="120" w:line="360" w:lineRule="auto"/>
        <w:jc w:val="right"/>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r>
        <w:rPr>
          <w:rFonts w:ascii="宋体"/>
          <w:color w:val="auto"/>
          <w:szCs w:val="21"/>
          <w:highlight w:val="auto"/>
        </w:rPr>
        <w:t xml:space="preserve">                                      </w:t>
      </w:r>
    </w:p>
    <w:tbl>
      <w:tblPr>
        <w:tblpPr w:leftFromText="180" w:rightFromText="180" w:vertAnchor="text" w:horzAnchor="margin" w:tblpXSpec="left" w:tblpY="259"/>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360"/>
        </w:trPr>
        <w:tc>
          <w:tcPr>
            <w:tcW w:w="8720" w:type="dxa"/>
          </w:tcPr>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授权代理人有效、清晰身份证复印件或扫描件</w:t>
            </w:r>
          </w:p>
          <w:p>
            <w:pPr>
              <w:pStyle w:val="15"/>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5"/>
              <w:spacing w:line="360" w:lineRule="auto"/>
              <w:ind w:firstLine="0"/>
              <w:jc w:val="both"/>
              <w:rPr>
                <w:rFonts w:ascii="宋体" w:eastAsia="宋体"/>
                <w:bCs/>
                <w:color w:val="auto"/>
                <w:sz w:val="24"/>
                <w:szCs w:val="24"/>
                <w:highlight w:val="auto"/>
              </w:rPr>
            </w:pPr>
          </w:p>
          <w:p>
            <w:pPr>
              <w:pStyle w:val="15"/>
              <w:spacing w:line="360" w:lineRule="auto"/>
              <w:ind w:firstLine="0"/>
              <w:jc w:val="both"/>
              <w:rPr>
                <w:rFonts w:ascii="宋体" w:eastAsia="宋体"/>
                <w:bCs/>
                <w:color w:val="auto"/>
                <w:sz w:val="24"/>
                <w:szCs w:val="24"/>
                <w:highlight w:val="auto"/>
              </w:rPr>
            </w:pPr>
          </w:p>
          <w:p>
            <w:pPr>
              <w:pStyle w:val="15"/>
              <w:spacing w:line="360" w:lineRule="auto"/>
              <w:ind w:firstLine="0"/>
              <w:jc w:val="both"/>
              <w:rPr>
                <w:rFonts w:ascii="宋体" w:eastAsia="宋体"/>
                <w:bCs/>
                <w:color w:val="auto"/>
                <w:sz w:val="24"/>
                <w:szCs w:val="24"/>
                <w:highlight w:val="auto"/>
              </w:rPr>
            </w:pPr>
          </w:p>
        </w:tc>
      </w:tr>
    </w:tbl>
    <w:p>
      <w:pPr>
        <w:spacing w:after="120" w:line="360" w:lineRule="auto"/>
        <w:jc w:val="right"/>
        <w:rPr>
          <w:rFonts w:ascii="宋体"/>
          <w:color w:val="auto"/>
          <w:sz w:val="24"/>
          <w:highlight w:val="auto"/>
        </w:rPr>
        <w:sectPr>
          <w:footerReference w:type="default" r:id="rId13"/>
          <w:pgSz w:w="11906" w:h="16838"/>
          <w:pgMar w:top="1588" w:right="1701" w:bottom="1588" w:left="1701" w:header="851" w:footer="992" w:gutter="0"/>
          <w:docGrid w:type="linesAndChars" w:linePitch="380" w:charSpace="0"/>
        </w:sectPr>
      </w:pPr>
    </w:p>
    <w:p>
      <w:pPr>
        <w:snapToGrid w:val="0"/>
        <w:ind w:rightChars="20" w:right="42" w:firstLineChars="200" w:firstLine="420"/>
        <w:jc w:val="left"/>
        <w:rPr>
          <w:rFonts w:ascii="微软雅黑" w:eastAsia="微软雅黑"/>
          <w:b/>
          <w:color w:val="auto"/>
          <w:szCs w:val="21"/>
          <w:highlight w:val="auto"/>
        </w:rPr>
      </w:pPr>
      <w:r>
        <w:rPr>
          <w:rFonts w:cs="宋体" w:hint="eastAsia"/>
          <w:color w:val="auto"/>
          <w:szCs w:val="28"/>
          <w:lang w:val="en-US" w:eastAsia="zh-CN"/>
          <w:highlight w:val="auto"/>
        </w:rPr>
        <w:t>6.11</w:t>
      </w:r>
      <w:r>
        <w:rPr>
          <w:rFonts w:ascii="微软雅黑" w:eastAsia="微软雅黑" w:hint="eastAsia"/>
          <w:b/>
          <w:color w:val="auto"/>
          <w:szCs w:val="21"/>
          <w:highlight w:val="auto"/>
        </w:rPr>
        <w:t>廉政承诺书格式：</w:t>
      </w:r>
    </w:p>
    <w:p>
      <w:pPr>
        <w:pStyle w:val="2"/>
        <w:numPr>
          <w:ilvl w:val="0"/>
          <w:numId w:val="0"/>
        </w:numPr>
        <w:tabs>
          <w:tab w:val="clear" w:pos="567"/>
          <w:tab w:val="left" w:pos="425"/>
        </w:tabs>
        <w:ind w:rightChars="20" w:right="42"/>
        <w:contextualSpacing/>
        <w:jc w:val="center"/>
        <w:rPr>
          <w:rFonts w:ascii="微软雅黑" w:eastAsia="微软雅黑" w:cs="Times New Roman" w:hint="eastAsia"/>
          <w:b/>
          <w:color w:val="auto"/>
          <w:kern w:val="2"/>
          <w:sz w:val="21"/>
          <w:szCs w:val="21"/>
          <w:lang w:val="en-US" w:eastAsia="zh-CN" w:bidi="ar-SA"/>
          <w:highlight w:val="auto"/>
        </w:rPr>
      </w:pPr>
      <w:r>
        <w:rPr>
          <w:rFonts w:ascii="微软雅黑" w:eastAsia="微软雅黑" w:cs="Times New Roman" w:hint="eastAsia"/>
          <w:b/>
          <w:color w:val="auto"/>
          <w:kern w:val="2"/>
          <w:sz w:val="21"/>
          <w:szCs w:val="21"/>
          <w:lang w:val="en-US" w:eastAsia="zh-CN" w:bidi="ar-SA"/>
          <w:highlight w:val="auto"/>
        </w:rPr>
        <w:t>廉政承诺书</w:t>
      </w:r>
    </w:p>
    <w:p>
      <w:pPr>
        <w:autoSpaceDE w:val="0"/>
        <w:autoSpaceDN w:val="0"/>
        <w:adjustRightInd w:val="0"/>
        <w:spacing w:line="360" w:lineRule="auto"/>
        <w:ind w:rightChars="20" w:right="42"/>
        <w:contextualSpacing/>
        <w:rPr>
          <w:rFonts w:ascii="宋体" w:cs="宋体"/>
          <w:color w:val="auto"/>
          <w:kern w:val="0"/>
          <w:szCs w:val="21"/>
          <w:lang w:val="zh-CN"/>
          <w:highlight w:val="auto"/>
        </w:rPr>
      </w:pPr>
      <w:r>
        <w:rPr>
          <w:rFonts w:ascii="宋体" w:cs="宋体" w:hint="eastAsia"/>
          <w:color w:val="auto"/>
          <w:szCs w:val="21"/>
          <w:highlight w:val="auto"/>
        </w:rPr>
        <w:t>致：（招标采购单位名称）</w:t>
      </w:r>
    </w:p>
    <w:p>
      <w:pPr>
        <w:autoSpaceDE w:val="0"/>
        <w:autoSpaceDN w:val="0"/>
        <w:adjustRightInd w:val="0"/>
        <w:spacing w:line="360" w:lineRule="auto"/>
        <w:ind w:rightChars="20" w:right="42" w:firstLineChars="200" w:firstLine="420"/>
        <w:contextualSpacing/>
        <w:rPr>
          <w:rFonts w:ascii="宋体" w:cs="宋体"/>
          <w:color w:val="auto"/>
          <w:kern w:val="0"/>
          <w:szCs w:val="21"/>
          <w:highlight w:val="auto"/>
        </w:rPr>
      </w:pPr>
      <w:r>
        <w:rPr>
          <w:rFonts w:ascii="宋体" w:cs="宋体" w:hint="eastAsia"/>
          <w:color w:val="auto"/>
          <w:kern w:val="0"/>
          <w:szCs w:val="21"/>
          <w:lang w:val="zh-CN"/>
          <w:highlight w:val="auto"/>
        </w:rPr>
        <w:t>我单位响应项目采购要求参加投标。在这次投标过程中和中标后，我们将严格遵守国家法律法规的要求，并郑重承诺：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一、不向项目有关人员及部门赠送礼金礼物、有价证券、回扣以及中介费、介绍费、咨询费等好处费；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二、不为项目有关人员及部门报销应由你方单位或个人支付的费用；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三、不向项目有关人员及部门提供有可能影响公正的宴请和健身娱乐等活动；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四、不为项目有关人员及部门出国（境）、旅游等提供方便；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五、不为项目有关人员个人装修住房、婚丧嫁娶、配偶子女工作安排等提供好处；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六、严格遵守政府采购法、招标投标法、合同法等法律，诚实守信，合法经营，坚决抵制各种违法违纪行为。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如违反上述承诺，你单位有权立即取消我单位投标、中标或在建项目的建设资格，有权拒绝我单位在一定时期内进入你单位进行项目建设或其他经营活动，并通报政府采购监督管理部门。由此引起的相应损失均由我单位承担。</w:t>
      </w:r>
    </w:p>
    <w:p>
      <w:pPr>
        <w:tabs>
          <w:tab w:val="left" w:pos="1418"/>
        </w:tabs>
        <w:spacing w:line="360" w:lineRule="auto"/>
        <w:ind w:rightChars="20" w:right="42"/>
        <w:contextualSpacing/>
        <w:rPr>
          <w:rFonts w:ascii="宋体"/>
          <w:color w:val="auto"/>
          <w:szCs w:val="21"/>
          <w:highlight w:val="auto"/>
        </w:rPr>
      </w:pPr>
    </w:p>
    <w:p>
      <w:pPr>
        <w:pStyle w:val="99"/>
        <w:adjustRightInd w:val="0"/>
        <w:snapToGrid w:val="0"/>
        <w:spacing w:line="360" w:lineRule="auto"/>
        <w:ind w:rightChars="20" w:right="42"/>
        <w:jc w:val="left"/>
        <w:rPr>
          <w:rFonts w:ascii="宋体" w:eastAsia="宋体"/>
          <w:color w:val="auto"/>
          <w:sz w:val="21"/>
          <w:szCs w:val="21"/>
          <w:highlight w:val="auto"/>
        </w:rPr>
      </w:pPr>
      <w:r>
        <w:rPr>
          <w:rFonts w:ascii="宋体" w:eastAsia="宋体" w:hint="eastAsia"/>
          <w:color w:val="auto"/>
          <w:sz w:val="21"/>
          <w:szCs w:val="21"/>
          <w:highlight w:val="auto"/>
        </w:rPr>
        <w:t>法定代表人或其授权代表签字（或盖章）</w:t>
      </w:r>
      <w:r>
        <w:rPr>
          <w:rFonts w:ascii="宋体" w:eastAsia="宋体"/>
          <w:color w:val="auto"/>
          <w:sz w:val="21"/>
          <w:szCs w:val="21"/>
          <w:highlight w:val="auto"/>
        </w:rPr>
        <w:t>：</w:t>
      </w:r>
    </w:p>
    <w:p>
      <w:pPr>
        <w:tabs>
          <w:tab w:val="left" w:pos="1418"/>
        </w:tabs>
        <w:spacing w:line="360" w:lineRule="auto"/>
        <w:ind w:rightChars="20" w:right="42"/>
        <w:contextualSpacing/>
        <w:rPr>
          <w:rFonts w:ascii="宋体"/>
          <w:color w:val="auto"/>
          <w:szCs w:val="21"/>
          <w:highlight w:val="auto"/>
        </w:rPr>
      </w:pPr>
    </w:p>
    <w:p>
      <w:pPr>
        <w:tabs>
          <w:tab w:val="left" w:pos="1418"/>
        </w:tabs>
        <w:spacing w:line="360" w:lineRule="auto"/>
        <w:ind w:rightChars="20" w:right="42"/>
        <w:contextualSpacing/>
        <w:rPr>
          <w:rFonts w:ascii="宋体"/>
          <w:color w:val="auto"/>
          <w:szCs w:val="21"/>
          <w:highlight w:val="auto"/>
        </w:rPr>
      </w:pPr>
      <w:r>
        <w:rPr>
          <w:rFonts w:ascii="宋体" w:hint="eastAsia"/>
          <w:color w:val="auto"/>
          <w:szCs w:val="21"/>
          <w:shd w:val="clear" w:color="auto" w:fill="FFFFFF"/>
          <w:highlight w:val="auto"/>
        </w:rPr>
        <w:t>投标人名称：（盖章）</w:t>
      </w:r>
      <w:r>
        <w:rPr>
          <w:rFonts w:ascii="宋体" w:hint="eastAsia"/>
          <w:color w:val="auto"/>
          <w:szCs w:val="21"/>
          <w:highlight w:val="auto"/>
        </w:rPr>
        <w:t xml:space="preserve">                           </w:t>
      </w:r>
    </w:p>
    <w:p>
      <w:pPr>
        <w:tabs>
          <w:tab w:val="left" w:pos="1418"/>
        </w:tabs>
        <w:spacing w:line="360" w:lineRule="auto"/>
        <w:ind w:rightChars="20" w:right="42"/>
        <w:contextualSpacing/>
        <w:rPr>
          <w:rFonts w:ascii="宋体" w:cs="宋体"/>
          <w:bCs/>
          <w:color w:val="auto"/>
          <w:szCs w:val="21"/>
          <w:highlight w:val="auto"/>
        </w:rPr>
      </w:pPr>
    </w:p>
    <w:p>
      <w:pPr>
        <w:tabs>
          <w:tab w:val="left" w:pos="1418"/>
        </w:tabs>
        <w:spacing w:line="360" w:lineRule="auto"/>
        <w:ind w:rightChars="20" w:right="42"/>
        <w:contextualSpacing/>
        <w:jc w:val="right"/>
        <w:rPr>
          <w:rFonts w:ascii="宋体" w:cs="宋体"/>
          <w:b/>
          <w:bCs/>
          <w:color w:val="auto"/>
          <w:szCs w:val="21"/>
          <w:highlight w:val="auto"/>
        </w:rPr>
      </w:pPr>
      <w:r>
        <w:rPr>
          <w:rFonts w:ascii="宋体" w:cs="宋体" w:hint="eastAsia"/>
          <w:bCs/>
          <w:color w:val="auto"/>
          <w:szCs w:val="21"/>
          <w:highlight w:val="auto"/>
        </w:rPr>
        <w:t xml:space="preserve">  年  月  日</w:t>
      </w:r>
    </w:p>
    <w:p>
      <w:pPr>
        <w:pStyle w:val="1"/>
        <w:spacing w:line="360" w:lineRule="auto"/>
        <w:ind w:rightChars="20" w:right="42"/>
        <w:contextualSpacing/>
        <w:rPr>
          <w:color w:val="auto"/>
          <w:highlight w:val="auto"/>
        </w:rPr>
        <w:sectPr>
          <w:headerReference w:type="default" r:id="rId14"/>
          <w:footerReference w:type="default" r:id="rId15"/>
          <w:pgSz w:w="11906" w:h="16838"/>
          <w:pgMar w:top="1474" w:right="1842" w:bottom="1247" w:left="1797" w:header="851" w:footer="851" w:gutter="0"/>
          <w:docGrid w:linePitch="312" w:charSpace="0"/>
        </w:sectPr>
      </w:pPr>
    </w:p>
    <w:p>
      <w:pPr>
        <w:snapToGrid w:val="0"/>
        <w:spacing w:line="360" w:lineRule="auto"/>
        <w:ind w:firstLineChars="200" w:firstLine="480"/>
        <w:jc w:val="left"/>
        <w:rPr>
          <w:rFonts w:ascii="宋体" w:eastAsia="宋体" w:cs="Times New Roman" w:hint="eastAsia"/>
          <w:b/>
          <w:color w:val="auto"/>
          <w:kern w:val="0"/>
          <w:sz w:val="24"/>
          <w:szCs w:val="24"/>
          <w:lang w:val="en-US" w:eastAsia="zh-CN" w:bidi="ar-SA"/>
          <w:highlight w:val="auto"/>
        </w:rPr>
      </w:pPr>
      <w:r>
        <w:rPr>
          <w:rFonts w:ascii="宋体" w:eastAsia="宋体" w:cs="Times New Roman" w:hint="eastAsia"/>
          <w:b/>
          <w:color w:val="auto"/>
          <w:kern w:val="0"/>
          <w:sz w:val="24"/>
          <w:szCs w:val="24"/>
          <w:lang w:val="en-US" w:eastAsia="zh-CN" w:bidi="ar-SA"/>
          <w:highlight w:val="auto"/>
        </w:rPr>
        <w:t>6.</w:t>
      </w:r>
      <w:r>
        <w:rPr>
          <w:rFonts w:ascii="宋体" w:cs="Times New Roman" w:hint="eastAsia"/>
          <w:b/>
          <w:color w:val="auto"/>
          <w:kern w:val="0"/>
          <w:sz w:val="24"/>
          <w:szCs w:val="24"/>
          <w:lang w:val="en-US" w:eastAsia="zh-CN" w:bidi="ar-SA"/>
          <w:highlight w:val="auto"/>
        </w:rPr>
        <w:t>12</w:t>
      </w:r>
      <w:r>
        <w:rPr>
          <w:rFonts w:ascii="宋体" w:eastAsia="宋体" w:cs="Times New Roman" w:hint="eastAsia"/>
          <w:b/>
          <w:color w:val="auto"/>
          <w:kern w:val="0"/>
          <w:sz w:val="24"/>
          <w:szCs w:val="24"/>
          <w:lang w:val="en-US" w:eastAsia="zh-CN" w:bidi="ar-SA"/>
          <w:highlight w:val="auto"/>
        </w:rPr>
        <w:t>投标人曾承担过的类似项目业绩情况：</w:t>
      </w:r>
    </w:p>
    <w:p>
      <w:pPr>
        <w:pStyle w:val="38"/>
        <w:snapToGrid w:val="0"/>
        <w:spacing w:line="360" w:lineRule="auto"/>
        <w:ind w:left="0" w:firstLineChars="200" w:firstLine="420"/>
        <w:contextualSpacing/>
        <w:jc w:val="left"/>
        <w:rPr>
          <w:rFonts w:ascii="宋体"/>
          <w:color w:val="auto"/>
          <w:szCs w:val="21"/>
          <w:highlight w:val="auto"/>
        </w:rPr>
      </w:pPr>
      <w:r>
        <w:rPr>
          <w:rFonts w:ascii="宋体"/>
          <w:color w:val="auto"/>
          <w:szCs w:val="21"/>
          <w:highlight w:val="auto"/>
        </w:rPr>
        <w:t>投标人同类项目实施情况一览表格式：（投标人同类项目合同复印件）</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3"/>
        <w:gridCol w:w="1243"/>
        <w:gridCol w:w="1244"/>
        <w:gridCol w:w="1080"/>
        <w:gridCol w:w="765"/>
        <w:gridCol w:w="1215"/>
        <w:gridCol w:w="850"/>
        <w:gridCol w:w="1078"/>
      </w:tblGrid>
      <w:tr>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采购单位名称</w:t>
            </w:r>
          </w:p>
        </w:tc>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设备或项目名称</w:t>
            </w:r>
          </w:p>
        </w:tc>
        <w:tc>
          <w:tcPr>
            <w:tcW w:w="1244"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采购数量</w:t>
            </w:r>
          </w:p>
        </w:tc>
        <w:tc>
          <w:tcPr>
            <w:tcW w:w="1080" w:type="dxa"/>
            <w:vAlign w:val="center"/>
          </w:tcPr>
          <w:p>
            <w:pPr>
              <w:snapToGrid w:val="0"/>
              <w:spacing w:line="360" w:lineRule="auto"/>
              <w:jc w:val="left"/>
              <w:rPr>
                <w:rFonts w:ascii="宋体" w:eastAsia="宋体"/>
                <w:color w:val="auto"/>
                <w:szCs w:val="21"/>
                <w:lang w:val="en-US" w:eastAsia="zh-CN"/>
                <w:highlight w:val="auto"/>
              </w:rPr>
            </w:pPr>
            <w:r>
              <w:rPr>
                <w:rFonts w:ascii="宋体" w:hint="eastAsia"/>
                <w:color w:val="auto"/>
                <w:szCs w:val="21"/>
                <w:lang w:val="en-US" w:eastAsia="zh-CN"/>
                <w:highlight w:val="auto"/>
              </w:rPr>
              <w:t>规格型号</w:t>
            </w:r>
          </w:p>
        </w:tc>
        <w:tc>
          <w:tcPr>
            <w:tcW w:w="765"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单价</w:t>
            </w:r>
          </w:p>
        </w:tc>
        <w:tc>
          <w:tcPr>
            <w:tcW w:w="1215"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合同金额</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（万元）</w:t>
            </w:r>
          </w:p>
        </w:tc>
        <w:tc>
          <w:tcPr>
            <w:tcW w:w="850"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附件页码</w:t>
            </w:r>
          </w:p>
          <w:p>
            <w:pPr>
              <w:snapToGrid w:val="0"/>
              <w:spacing w:line="360" w:lineRule="auto"/>
              <w:ind w:firstLineChars="200" w:firstLine="480"/>
              <w:jc w:val="left"/>
              <w:rPr>
                <w:rFonts w:ascii="宋体" w:eastAsia="宋体"/>
                <w:color w:val="auto"/>
                <w:sz w:val="24"/>
                <w:szCs w:val="24"/>
                <w:vertAlign w:val="baseline"/>
                <w:lang w:val="en-US" w:eastAsia="zh-CN"/>
                <w:highlight w:val="auto"/>
              </w:rPr>
            </w:pPr>
          </w:p>
        </w:tc>
        <w:tc>
          <w:tcPr>
            <w:tcW w:w="1078"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采购单位联系人及</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联系电话</w:t>
            </w: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bl>
    <w:p>
      <w:pPr>
        <w:pStyle w:val="2"/>
        <w:numPr>
          <w:ilvl w:val="0"/>
          <w:numId w:val="0"/>
        </w:numPr>
        <w:tabs>
          <w:tab w:val="clear" w:pos="425"/>
        </w:tabs>
        <w:adjustRightInd w:val="0"/>
        <w:snapToGrid w:val="0"/>
        <w:spacing w:beforeLines="50" w:before="120" w:after="0" w:line="360" w:lineRule="auto"/>
        <w:ind w:left="567"/>
        <w:rPr>
          <w:rFonts w:ascii="宋体" w:eastAsia="宋体" w:hint="eastAsia"/>
          <w:color w:val="auto"/>
          <w:sz w:val="24"/>
          <w:szCs w:val="24"/>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spacing w:line="360" w:lineRule="auto"/>
        <w:rPr>
          <w:rFonts w:ascii="宋体" w:cs="宋体" w:hint="eastAsia"/>
          <w:color w:val="auto"/>
          <w:spacing w:val="-6"/>
          <w:szCs w:val="21"/>
          <w:highlight w:val="auto"/>
        </w:rPr>
        <w:sectPr>
          <w:footerReference w:type="default" r:id="rId16"/>
          <w:pgSz w:w="11911" w:h="16838"/>
          <w:pgMar w:top="1502" w:right="1378" w:bottom="1780" w:left="1582" w:header="0" w:footer="1378" w:gutter="0"/>
          <w:docGrid w:linePitch="312" w:charSpace="0"/>
        </w:sect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rPr>
          <w:rFonts w:ascii="宋体" w:cs="宋体"/>
          <w:color w:val="auto"/>
          <w:spacing w:val="-6"/>
          <w:szCs w:val="21"/>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s="Times New Roman" w:hint="eastAsia"/>
          <w:b/>
          <w:color w:val="auto"/>
          <w:kern w:val="0"/>
          <w:sz w:val="24"/>
          <w:szCs w:val="24"/>
          <w:lang w:val="en-US" w:eastAsia="zh-CN" w:bidi="ar-SA"/>
          <w:highlight w:val="auto"/>
        </w:rPr>
        <w:t>6.13</w:t>
      </w:r>
      <w:r>
        <w:rPr>
          <w:rFonts w:ascii="宋体" w:eastAsia="宋体" w:hint="eastAsia"/>
          <w:color w:val="auto"/>
          <w:sz w:val="24"/>
          <w:szCs w:val="24"/>
          <w:highlight w:val="auto"/>
        </w:rPr>
        <w:t>采购需求偏离表</w:t>
      </w:r>
    </w:p>
    <w:p>
      <w:pPr>
        <w:spacing w:line="360" w:lineRule="auto"/>
        <w:jc w:val="center"/>
        <w:rPr>
          <w:rFonts w:ascii="宋体" w:cs="宋体"/>
          <w:b/>
          <w:bCs/>
          <w:iCs/>
          <w:color w:val="auto"/>
          <w:spacing w:val="-6"/>
          <w:szCs w:val="21"/>
          <w:highlight w:val="auto"/>
        </w:rPr>
      </w:pPr>
      <w:r>
        <w:rPr>
          <w:rFonts w:ascii="宋体" w:cs="宋体" w:hint="eastAsia"/>
          <w:b/>
          <w:bCs/>
          <w:iCs/>
          <w:color w:val="auto"/>
          <w:spacing w:val="-6"/>
          <w:szCs w:val="21"/>
          <w:highlight w:val="auto"/>
        </w:rPr>
        <w:t>采购需求偏离表</w:t>
      </w:r>
    </w:p>
    <w:p>
      <w:pPr>
        <w:spacing w:line="360" w:lineRule="auto"/>
        <w:rPr>
          <w:rFonts w:ascii="宋体" w:cs="宋体"/>
          <w:bCs/>
          <w:color w:val="auto"/>
          <w:spacing w:val="-6"/>
          <w:szCs w:val="21"/>
          <w:highlight w:val="auto"/>
        </w:rPr>
      </w:pPr>
      <w:r>
        <w:rPr>
          <w:rFonts w:ascii="宋体" w:cs="宋体" w:hint="eastAsia"/>
          <w:bCs/>
          <w:color w:val="auto"/>
          <w:spacing w:val="-6"/>
          <w:szCs w:val="21"/>
          <w:highlight w:val="auto"/>
        </w:rPr>
        <w:t>采</w:t>
      </w:r>
      <w:r>
        <w:rPr>
          <w:rFonts w:ascii="宋体" w:cs="宋体"/>
          <w:bCs/>
          <w:color w:val="auto"/>
          <w:spacing w:val="-6"/>
          <w:szCs w:val="21"/>
          <w:highlight w:val="auto"/>
        </w:rPr>
        <w:t xml:space="preserve"> </w:t>
      </w:r>
      <w:r>
        <w:rPr>
          <w:rFonts w:ascii="宋体" w:cs="宋体" w:hint="eastAsia"/>
          <w:bCs/>
          <w:color w:val="auto"/>
          <w:spacing w:val="-6"/>
          <w:szCs w:val="21"/>
          <w:highlight w:val="auto"/>
        </w:rPr>
        <w:t>购</w:t>
      </w:r>
      <w:r>
        <w:rPr>
          <w:rFonts w:ascii="宋体" w:cs="宋体"/>
          <w:bCs/>
          <w:color w:val="auto"/>
          <w:spacing w:val="-6"/>
          <w:szCs w:val="21"/>
          <w:highlight w:val="auto"/>
        </w:rPr>
        <w:t xml:space="preserve"> </w:t>
      </w:r>
      <w:r>
        <w:rPr>
          <w:rFonts w:ascii="宋体" w:cs="宋体" w:hint="eastAsia"/>
          <w:bCs/>
          <w:color w:val="auto"/>
          <w:spacing w:val="-6"/>
          <w:szCs w:val="21"/>
          <w:highlight w:val="auto"/>
        </w:rPr>
        <w:t>人：嘉兴海关综合技术服务中心</w:t>
      </w:r>
    </w:p>
    <w:p>
      <w:pPr>
        <w:spacing w:line="360" w:lineRule="auto"/>
        <w:rPr>
          <w:rFonts w:ascii="宋体" w:eastAsia="宋体" w:cs="宋体" w:hint="eastAsia"/>
          <w:color w:val="auto"/>
          <w:spacing w:val="-6"/>
          <w:szCs w:val="21"/>
          <w:lang w:eastAsia="zh-CN"/>
          <w:highlight w:val="auto"/>
        </w:rPr>
      </w:pPr>
      <w:r>
        <w:rPr>
          <w:rFonts w:ascii="宋体" w:cs="宋体" w:hint="eastAsia"/>
          <w:bCs/>
          <w:color w:val="auto"/>
          <w:spacing w:val="-6"/>
          <w:szCs w:val="21"/>
          <w:highlight w:val="auto"/>
        </w:rPr>
        <w:t>项目名称：</w:t>
      </w:r>
      <w:r>
        <w:rPr>
          <w:rFonts w:ascii="宋体" w:cs="宋体" w:hint="eastAsia"/>
          <w:color w:val="auto"/>
          <w:spacing w:val="-6"/>
          <w:szCs w:val="21"/>
          <w:lang w:eastAsia="zh-CN"/>
          <w:highlight w:val="auto"/>
        </w:rPr>
        <w:t>嘉兴海关综合技术服务中心2025年实验室仪器设备更新项目（一）（第三次）</w:t>
      </w:r>
    </w:p>
    <w:p>
      <w:pPr>
        <w:spacing w:line="360" w:lineRule="auto"/>
        <w:rPr>
          <w:rFonts w:ascii="宋体" w:eastAsia="宋体" w:cs="宋体"/>
          <w:bCs/>
          <w:color w:val="auto"/>
          <w:spacing w:val="-6"/>
          <w:szCs w:val="21"/>
          <w:lang w:val="en-US" w:eastAsia="zh-CN"/>
          <w:highlight w:val="auto"/>
        </w:rPr>
      </w:pPr>
      <w:r>
        <w:rPr>
          <w:rFonts w:ascii="宋体" w:cs="宋体" w:hint="eastAsia"/>
          <w:bCs/>
          <w:color w:val="auto"/>
          <w:spacing w:val="-6"/>
          <w:szCs w:val="21"/>
          <w:highlight w:val="auto"/>
        </w:rPr>
        <w:t>项目编号：</w:t>
      </w:r>
      <w:r>
        <w:rPr>
          <w:rFonts w:ascii="宋体" w:cs="宋体" w:hint="eastAsia"/>
          <w:bCs/>
          <w:color w:val="auto"/>
          <w:spacing w:val="-6"/>
          <w:szCs w:val="21"/>
          <w:lang w:val="en-US" w:eastAsia="zh-CN"/>
          <w:highlight w:val="auto"/>
        </w:rPr>
        <w:t xml:space="preserve">                        </w:t>
      </w:r>
    </w:p>
    <w:tbl>
      <w:tblPr>
        <w:jc w:val="left"/>
        <w:tblInd w:w="-34" w:type="dxa"/>
        <w:tblW w:w="9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0"/>
        <w:gridCol w:w="3011"/>
        <w:gridCol w:w="2862"/>
        <w:gridCol w:w="2215"/>
      </w:tblGrid>
      <w:tr>
        <w:trPr>
          <w:trHeight w:val="567"/>
        </w:trPr>
        <w:tc>
          <w:tcPr>
            <w:tcW w:w="1100"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序号</w:t>
            </w:r>
          </w:p>
        </w:tc>
        <w:tc>
          <w:tcPr>
            <w:tcW w:w="3011"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采购文件要求</w:t>
            </w:r>
          </w:p>
        </w:tc>
        <w:tc>
          <w:tcPr>
            <w:tcW w:w="2862" w:type="dxa"/>
            <w:vAlign w:val="center"/>
          </w:tcPr>
          <w:p>
            <w:pPr>
              <w:snapToGrid w:val="0"/>
              <w:jc w:val="center"/>
              <w:rPr>
                <w:rFonts w:ascii="宋体" w:eastAsia="宋体" w:cs="宋体" w:hint="eastAsia"/>
                <w:b/>
                <w:color w:val="auto"/>
                <w:spacing w:val="-6"/>
                <w:szCs w:val="21"/>
                <w:lang w:val="en-US" w:eastAsia="zh-CN"/>
                <w:highlight w:val="auto"/>
              </w:rPr>
            </w:pP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p>
        </w:tc>
        <w:tc>
          <w:tcPr>
            <w:tcW w:w="2215"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是否偏离</w:t>
            </w:r>
          </w:p>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w:t>
            </w:r>
            <w:r>
              <w:rPr>
                <w:rFonts w:ascii="宋体" w:cs="宋体" w:hint="eastAsia"/>
                <w:b/>
                <w:color w:val="auto"/>
                <w:spacing w:val="-6"/>
                <w:szCs w:val="21"/>
                <w:lang w:val="en-US" w:eastAsia="zh-CN"/>
                <w:highlight w:val="auto"/>
              </w:rPr>
              <w:t>请填写正偏离/负偏离/符合并</w:t>
            </w:r>
            <w:r>
              <w:rPr>
                <w:rFonts w:ascii="宋体" w:cs="宋体" w:hint="eastAsia"/>
                <w:b/>
                <w:color w:val="auto"/>
                <w:spacing w:val="-6"/>
                <w:szCs w:val="21"/>
                <w:highlight w:val="auto"/>
              </w:rPr>
              <w:t>提供说明）</w:t>
            </w: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pacing w:val="-6"/>
                <w:szCs w:val="21"/>
                <w:highlight w:val="auto"/>
              </w:rPr>
              <w:t>技术要求</w:t>
            </w:r>
            <w:r>
              <w:rPr>
                <w:rFonts w:ascii="宋体" w:cs="宋体" w:hint="eastAsia"/>
                <w:b/>
                <w:bCs/>
                <w:color w:val="auto"/>
                <w:spacing w:val="-6"/>
                <w:szCs w:val="21"/>
                <w:highlight w:val="auto"/>
              </w:rPr>
              <w:t>（</w:t>
            </w:r>
            <w:r>
              <w:rPr>
                <w:rFonts w:ascii="宋体" w:cs="宋体" w:hint="eastAsia"/>
                <w:b/>
                <w:bCs/>
                <w:color w:val="auto"/>
                <w:szCs w:val="21"/>
                <w:highlight w:val="auto"/>
              </w:rPr>
              <w:t>指标参数中佐证材料需提供相应材料或承诺，详见指标参数中要求，未按要求提供相应材料或承诺的视为负偏离</w:t>
            </w:r>
            <w:r>
              <w:rPr>
                <w:rFonts w:ascii="宋体" w:cs="宋体" w:hint="eastAsia"/>
                <w:b/>
                <w:bCs/>
                <w:color w:val="auto"/>
                <w:spacing w:val="-6"/>
                <w:szCs w:val="21"/>
                <w:highlight w:val="auto"/>
              </w:rPr>
              <w:t>）</w:t>
            </w: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zCs w:val="21"/>
                <w:highlight w:val="auto"/>
              </w:rPr>
              <w:t>商务要求</w:t>
            </w:r>
          </w:p>
        </w:tc>
      </w:tr>
      <w:tr>
        <w:trPr>
          <w:trHeight w:val="534"/>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付款条件</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eastAsia="宋体" w:cs="宋体" w:hint="eastAsia"/>
                <w:color w:val="auto"/>
                <w:spacing w:val="-6"/>
                <w:szCs w:val="21"/>
                <w:lang w:eastAsia="zh-CN"/>
                <w:highlight w:val="auto"/>
              </w:rPr>
            </w:pPr>
            <w:r>
              <w:rPr>
                <w:rFonts w:ascii="宋体" w:cs="宋体" w:hint="eastAsia"/>
                <w:color w:val="auto"/>
                <w:spacing w:val="-6"/>
                <w:szCs w:val="21"/>
                <w:highlight w:val="auto"/>
              </w:rPr>
              <w:t>交货</w:t>
            </w:r>
            <w:r>
              <w:rPr>
                <w:rFonts w:ascii="宋体" w:cs="宋体" w:hint="eastAsia"/>
                <w:color w:val="auto"/>
                <w:spacing w:val="-6"/>
                <w:szCs w:val="21"/>
                <w:lang w:val="en-US" w:eastAsia="zh-CN"/>
                <w:highlight w:val="auto"/>
              </w:rPr>
              <w:t>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质保期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说明：1.逐项按照采购文件要求填写响应规格；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2.偏离说明是指对投标文件要求存在不同之处的解释说明。偏离系指：正偏离（高于招标要求）、负偏离（低于招标要求）、无偏离（满足招标要求）；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3.</w:t>
      </w:r>
      <w:r>
        <w:rPr>
          <w:rFonts w:ascii="宋体" w:cs="宋体" w:hint="eastAsia"/>
          <w:b/>
          <w:bCs/>
          <w:color w:val="auto"/>
          <w:spacing w:val="-6"/>
          <w:szCs w:val="21"/>
          <w:highlight w:val="auto"/>
        </w:rPr>
        <w:t>不提供本表</w:t>
      </w:r>
      <w:r>
        <w:rPr>
          <w:rFonts w:ascii="宋体" w:cs="宋体" w:hint="eastAsia"/>
          <w:b/>
          <w:bCs/>
          <w:color w:val="auto"/>
          <w:spacing w:val="-6"/>
          <w:szCs w:val="21"/>
          <w:lang w:val="en-US" w:eastAsia="zh-CN"/>
          <w:highlight w:val="auto"/>
        </w:rPr>
        <w:t>或</w:t>
      </w: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r>
        <w:rPr>
          <w:rFonts w:ascii="宋体" w:cs="宋体" w:hint="eastAsia"/>
          <w:b/>
          <w:bCs/>
          <w:color w:val="auto"/>
          <w:spacing w:val="-6"/>
          <w:szCs w:val="21"/>
          <w:lang w:val="en-US" w:eastAsia="zh-CN"/>
          <w:highlight w:val="auto"/>
        </w:rPr>
        <w:t>填写不完整的</w:t>
      </w:r>
      <w:r>
        <w:rPr>
          <w:rFonts w:ascii="宋体" w:cs="宋体" w:hint="eastAsia"/>
          <w:b/>
          <w:bCs/>
          <w:color w:val="auto"/>
          <w:spacing w:val="-6"/>
          <w:szCs w:val="21"/>
          <w:highlight w:val="auto"/>
        </w:rPr>
        <w:t>视为完全响应招标文件要求</w:t>
      </w:r>
      <w:r>
        <w:rPr>
          <w:rFonts w:ascii="宋体" w:cs="宋体" w:hint="eastAsia"/>
          <w:b/>
          <w:bCs/>
          <w:color w:val="auto"/>
          <w:spacing w:val="-6"/>
          <w:szCs w:val="21"/>
          <w:lang w:eastAsia="zh-CN"/>
          <w:highlight w:val="auto"/>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4</w:t>
      </w:r>
      <w:r>
        <w:rPr>
          <w:rFonts w:ascii="宋体" w:cs="宋体" w:hint="eastAsia"/>
          <w:b/>
          <w:bCs/>
          <w:color w:val="auto"/>
          <w:spacing w:val="-6"/>
          <w:szCs w:val="21"/>
          <w:highlight w:val="auto"/>
        </w:rPr>
        <w:t>.未如实填写</w:t>
      </w:r>
      <w:r>
        <w:rPr>
          <w:rFonts w:ascii="宋体" w:cs="宋体" w:hint="eastAsia"/>
          <w:b/>
          <w:bCs/>
          <w:color w:val="auto"/>
          <w:spacing w:val="-6"/>
          <w:szCs w:val="21"/>
          <w:lang w:val="en-US" w:eastAsia="zh-CN"/>
          <w:highlight w:val="auto"/>
        </w:rPr>
        <w:t>或提供虚假材料的视为负偏离，自行承担风险，投标人需对上述偏离真实情况负责，不得虚假应标，验收时无法体现响应情况的视为虚假应标，采购人有权上报上级主管部门，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pacing w:val="-6"/>
          <w:szCs w:val="21"/>
          <w:lang w:val="en-US" w:eastAsia="zh-CN"/>
          <w:highlight w:val="auto"/>
        </w:rPr>
        <w:t>，不予付款。</w:t>
      </w:r>
    </w:p>
    <w:p>
      <w:pPr>
        <w:pStyle w:val="21"/>
        <w:rPr>
          <w:rFonts w:ascii="宋体" w:eastAsia="宋体" w:cs="宋体"/>
          <w:b/>
          <w:bCs/>
          <w:color w:val="auto"/>
          <w:spacing w:val="-6"/>
          <w:kern w:val="2"/>
          <w:sz w:val="21"/>
          <w:szCs w:val="21"/>
          <w:lang w:val="en-US" w:eastAsia="zh-CN" w:bidi="ar-SA"/>
          <w:highlight w:val="auto"/>
        </w:rPr>
      </w:pPr>
      <w:r>
        <w:rPr>
          <w:rFonts w:ascii="宋体" w:eastAsia="宋体" w:cs="宋体" w:hint="eastAsia"/>
          <w:b/>
          <w:bCs/>
          <w:color w:val="auto"/>
          <w:spacing w:val="-6"/>
          <w:kern w:val="2"/>
          <w:sz w:val="21"/>
          <w:szCs w:val="21"/>
          <w:lang w:val="en-US" w:eastAsia="zh-CN" w:bidi="ar-SA"/>
          <w:highlight w:val="auto"/>
        </w:rPr>
        <w:t>5.多台设备的交货期、质保期不同的需注明每台设备的交货期、质保期。</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olor w:val="auto"/>
          <w:szCs w:val="21"/>
          <w:highlight w:val="auto"/>
        </w:rPr>
      </w:pPr>
      <w:r>
        <w:rPr>
          <w:rFonts w:ascii="宋体" w:hint="eastAsia"/>
          <w:color w:val="auto"/>
          <w:szCs w:val="21"/>
          <w:highlight w:val="auto"/>
        </w:rPr>
        <w:t>法定代表人或其委托代理人：     （签字或盖章）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lang w:val="en-US" w:eastAsia="zh-CN"/>
          <w:highlight w:val="auto"/>
        </w:rPr>
      </w:pPr>
      <w:r>
        <w:rPr>
          <w:rFonts w:ascii="宋体" w:eastAsia="宋体" w:hint="eastAsia"/>
          <w:color w:val="auto"/>
          <w:sz w:val="24"/>
          <w:szCs w:val="24"/>
          <w:lang w:val="en-US" w:eastAsia="zh-CN"/>
          <w:highlight w:val="auto"/>
        </w:rPr>
        <w:t>6.14与商务资信标评分有关的其他材料</w:t>
      </w:r>
    </w:p>
    <w:p>
      <w:pPr>
        <w:pStyle w:val="2"/>
        <w:numPr>
          <w:ilvl w:val="0"/>
          <w:numId w:val="0"/>
        </w:numPr>
        <w:tabs>
          <w:tab w:val="clear" w:pos="425"/>
        </w:tabs>
        <w:adjustRightInd w:val="0"/>
        <w:snapToGrid w:val="0"/>
        <w:spacing w:beforeLines="50" w:before="120" w:after="0" w:line="360" w:lineRule="auto"/>
        <w:ind w:left="567"/>
        <w:jc w:val="center"/>
        <w:rPr>
          <w:rFonts w:ascii="宋体" w:eastAsia="宋体"/>
          <w:color w:val="auto"/>
          <w:sz w:val="24"/>
          <w:szCs w:val="24"/>
          <w:highlight w:val="auto"/>
        </w:rPr>
      </w:pPr>
      <w:bookmarkStart w:id="129" w:name="_Toc60757547"/>
      <w:bookmarkStart w:id="130" w:name="_Toc371605525"/>
      <w:bookmarkStart w:id="131" w:name="_Toc468296152"/>
      <w:bookmarkStart w:id="132" w:name="_Toc371582604"/>
      <w:bookmarkStart w:id="133" w:name="_Toc371661598"/>
      <w:bookmarkStart w:id="134" w:name="_Toc80791181"/>
      <w:bookmarkStart w:id="135" w:name="_Toc371002597"/>
      <w:bookmarkStart w:id="136" w:name="_Toc25937"/>
      <w:bookmarkStart w:id="137" w:name="_Toc368993665"/>
      <w:bookmarkStart w:id="138" w:name="_Toc488655915"/>
      <w:bookmarkEnd w:id="124"/>
      <w:bookmarkEnd w:id="125"/>
      <w:bookmarkEnd w:id="126"/>
      <w:bookmarkEnd w:id="127"/>
      <w:bookmarkEnd w:id="128"/>
      <w:r>
        <w:rPr>
          <w:rFonts w:ascii="宋体" w:eastAsia="宋体"/>
          <w:color w:val="auto"/>
          <w:sz w:val="24"/>
          <w:szCs w:val="24"/>
          <w:highlight w:val="auto"/>
        </w:rPr>
        <w:t>(1)</w:t>
      </w:r>
      <w:r>
        <w:rPr>
          <w:rFonts w:ascii="宋体" w:eastAsia="宋体" w:hint="eastAsia"/>
          <w:color w:val="auto"/>
          <w:sz w:val="24"/>
          <w:szCs w:val="24"/>
          <w:highlight w:val="auto"/>
        </w:rPr>
        <w:t>供应商基本情况表</w:t>
      </w:r>
      <w:bookmarkEnd w:id="129"/>
      <w:bookmarkEnd w:id="130"/>
      <w:bookmarkEnd w:id="131"/>
      <w:bookmarkEnd w:id="132"/>
      <w:bookmarkEnd w:id="133"/>
      <w:bookmarkEnd w:id="134"/>
      <w:bookmarkEnd w:id="135"/>
      <w:bookmarkEnd w:id="136"/>
      <w:bookmarkEnd w:id="137"/>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5"/>
        <w:gridCol w:w="1351"/>
        <w:gridCol w:w="993"/>
        <w:gridCol w:w="567"/>
        <w:gridCol w:w="478"/>
        <w:gridCol w:w="514"/>
        <w:gridCol w:w="732"/>
        <w:gridCol w:w="260"/>
        <w:gridCol w:w="709"/>
        <w:gridCol w:w="1416"/>
      </w:tblGrid>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供应商名称</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注册地址</w:t>
            </w:r>
          </w:p>
        </w:tc>
        <w:tc>
          <w:tcPr>
            <w:tcW w:w="3389" w:type="dxa"/>
            <w:gridSpan w:val="4"/>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邮政编码</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联系方式</w:t>
            </w:r>
          </w:p>
        </w:tc>
        <w:tc>
          <w:tcPr>
            <w:tcW w:w="1351" w:type="dxa"/>
            <w:vAlign w:val="center"/>
          </w:tcPr>
          <w:p>
            <w:pPr>
              <w:jc w:val="center"/>
              <w:rPr>
                <w:rFonts w:ascii="宋体"/>
                <w:color w:val="auto"/>
                <w:szCs w:val="21"/>
                <w:highlight w:val="auto"/>
              </w:rPr>
            </w:pPr>
            <w:r>
              <w:rPr>
                <w:rFonts w:ascii="宋体" w:hint="eastAsia"/>
                <w:color w:val="auto"/>
                <w:szCs w:val="21"/>
                <w:highlight w:val="auto"/>
              </w:rPr>
              <w:t>联系人</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电</w:t>
            </w:r>
            <w:r>
              <w:rPr>
                <w:rFonts w:ascii="宋体"/>
                <w:color w:val="auto"/>
                <w:szCs w:val="21"/>
                <w:highlight w:val="auto"/>
              </w:rPr>
              <w:t xml:space="preserve">  </w:t>
            </w:r>
            <w:r>
              <w:rPr>
                <w:rFonts w:ascii="宋体" w:hint="eastAsia"/>
                <w:color w:val="auto"/>
                <w:szCs w:val="21"/>
                <w:highlight w:val="auto"/>
              </w:rPr>
              <w:t>话</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Align w:val="center"/>
          </w:tcPr>
          <w:p>
            <w:pPr>
              <w:jc w:val="center"/>
              <w:rPr>
                <w:rFonts w:ascii="宋体"/>
                <w:color w:val="auto"/>
                <w:szCs w:val="21"/>
                <w:highlight w:val="auto"/>
              </w:rPr>
            </w:pPr>
            <w:r>
              <w:rPr>
                <w:rFonts w:ascii="宋体" w:hint="eastAsia"/>
                <w:color w:val="auto"/>
                <w:szCs w:val="21"/>
                <w:highlight w:val="auto"/>
              </w:rPr>
              <w:t>传</w:t>
            </w:r>
            <w:r>
              <w:rPr>
                <w:rFonts w:ascii="宋体"/>
                <w:color w:val="auto"/>
                <w:szCs w:val="21"/>
                <w:highlight w:val="auto"/>
              </w:rPr>
              <w:t xml:space="preserve">  </w:t>
            </w:r>
            <w:r>
              <w:rPr>
                <w:rFonts w:ascii="宋体" w:hint="eastAsia"/>
                <w:color w:val="auto"/>
                <w:szCs w:val="21"/>
                <w:highlight w:val="auto"/>
              </w:rPr>
              <w:t>真</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网</w:t>
            </w:r>
            <w:r>
              <w:rPr>
                <w:rFonts w:ascii="宋体"/>
                <w:color w:val="auto"/>
                <w:szCs w:val="21"/>
                <w:highlight w:val="auto"/>
              </w:rPr>
              <w:t xml:space="preserve">  </w:t>
            </w:r>
            <w:r>
              <w:rPr>
                <w:rFonts w:ascii="宋体" w:hint="eastAsia"/>
                <w:color w:val="auto"/>
                <w:szCs w:val="21"/>
                <w:highlight w:val="auto"/>
              </w:rPr>
              <w:t>址</w:t>
            </w:r>
          </w:p>
        </w:tc>
        <w:tc>
          <w:tcPr>
            <w:tcW w:w="2385" w:type="dxa"/>
            <w:gridSpan w:val="3"/>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组织结构</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法定代表人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技术负责人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成立时间</w:t>
            </w:r>
          </w:p>
        </w:tc>
        <w:tc>
          <w:tcPr>
            <w:tcW w:w="2344" w:type="dxa"/>
            <w:gridSpan w:val="2"/>
            <w:vAlign w:val="center"/>
          </w:tcPr>
          <w:p>
            <w:pPr>
              <w:jc w:val="center"/>
              <w:rPr>
                <w:rFonts w:ascii="宋体"/>
                <w:color w:val="auto"/>
                <w:szCs w:val="21"/>
                <w:highlight w:val="auto"/>
              </w:rPr>
            </w:pPr>
          </w:p>
        </w:tc>
        <w:tc>
          <w:tcPr>
            <w:tcW w:w="4676" w:type="dxa"/>
            <w:gridSpan w:val="7"/>
            <w:vAlign w:val="center"/>
          </w:tcPr>
          <w:p>
            <w:pPr>
              <w:jc w:val="left"/>
              <w:rPr>
                <w:rFonts w:ascii="宋体"/>
                <w:color w:val="auto"/>
                <w:szCs w:val="21"/>
                <w:highlight w:val="auto"/>
              </w:rPr>
            </w:pPr>
            <w:r>
              <w:rPr>
                <w:rFonts w:ascii="宋体" w:hint="eastAsia"/>
                <w:color w:val="auto"/>
                <w:szCs w:val="21"/>
                <w:highlight w:val="auto"/>
              </w:rPr>
              <w:t>员工总人数：</w:t>
            </w: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营业执照号</w:t>
            </w:r>
          </w:p>
        </w:tc>
        <w:tc>
          <w:tcPr>
            <w:tcW w:w="1351" w:type="dxa"/>
            <w:vMerge w:val="restart"/>
            <w:vAlign w:val="center"/>
          </w:tcPr>
          <w:p>
            <w:pPr>
              <w:jc w:val="center"/>
              <w:rPr>
                <w:rFonts w:ascii="宋体"/>
                <w:color w:val="auto"/>
                <w:szCs w:val="21"/>
                <w:highlight w:val="auto"/>
              </w:rPr>
            </w:pPr>
          </w:p>
        </w:tc>
        <w:tc>
          <w:tcPr>
            <w:tcW w:w="993" w:type="dxa"/>
            <w:vMerge w:val="restart"/>
            <w:vAlign w:val="center"/>
          </w:tcPr>
          <w:p>
            <w:pPr>
              <w:jc w:val="center"/>
              <w:rPr>
                <w:rFonts w:ascii="宋体"/>
                <w:color w:val="auto"/>
                <w:szCs w:val="21"/>
                <w:highlight w:val="auto"/>
              </w:rPr>
            </w:pPr>
          </w:p>
        </w:tc>
        <w:tc>
          <w:tcPr>
            <w:tcW w:w="567" w:type="dxa"/>
            <w:vMerge w:val="restart"/>
            <w:vAlign w:val="center"/>
          </w:tcPr>
          <w:p>
            <w:pPr>
              <w:jc w:val="center"/>
              <w:rPr>
                <w:rFonts w:ascii="宋体"/>
                <w:color w:val="auto"/>
                <w:szCs w:val="21"/>
                <w:highlight w:val="auto"/>
              </w:rPr>
            </w:pPr>
            <w:r>
              <w:rPr>
                <w:rFonts w:ascii="宋体" w:hint="eastAsia"/>
                <w:color w:val="auto"/>
                <w:szCs w:val="21"/>
                <w:highlight w:val="auto"/>
              </w:rPr>
              <w:t>其中</w:t>
            </w: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执业资格人员</w:t>
            </w:r>
          </w:p>
        </w:tc>
        <w:tc>
          <w:tcPr>
            <w:tcW w:w="2125" w:type="dxa"/>
            <w:gridSpan w:val="2"/>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Merge/>
            <w:vAlign w:val="center"/>
          </w:tcPr>
          <w:p/>
        </w:tc>
        <w:tc>
          <w:tcPr>
            <w:tcW w:w="993" w:type="dxa"/>
            <w:vMerge/>
            <w:vAlign w:val="center"/>
          </w:tc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高级职称人员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注册资金</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中级职称人员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开户银行</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初级职称人员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账号</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技</w:t>
            </w:r>
            <w:r>
              <w:rPr>
                <w:rFonts w:ascii="宋体"/>
                <w:color w:val="auto"/>
                <w:szCs w:val="21"/>
                <w:highlight w:val="auto"/>
              </w:rPr>
              <w:t xml:space="preserve">  </w:t>
            </w:r>
            <w:r>
              <w:rPr>
                <w:rFonts w:ascii="宋体" w:hint="eastAsia"/>
                <w:color w:val="auto"/>
                <w:szCs w:val="21"/>
                <w:highlight w:val="auto"/>
              </w:rPr>
              <w:t>工</w:t>
            </w:r>
          </w:p>
        </w:tc>
        <w:tc>
          <w:tcPr>
            <w:tcW w:w="2125" w:type="dxa"/>
            <w:gridSpan w:val="2"/>
            <w:vAlign w:val="center"/>
          </w:tcPr>
          <w:p>
            <w:pPr>
              <w:jc w:val="center"/>
              <w:rPr>
                <w:rFonts w:ascii="宋体"/>
                <w:color w:val="auto"/>
                <w:szCs w:val="21"/>
                <w:highlight w:val="auto"/>
              </w:rPr>
            </w:pPr>
          </w:p>
        </w:tc>
      </w:tr>
      <w:tr>
        <w:trPr>
          <w:trHeight w:val="2004"/>
        </w:trPr>
        <w:tc>
          <w:tcPr>
            <w:tcW w:w="1485" w:type="dxa"/>
            <w:vAlign w:val="center"/>
          </w:tcPr>
          <w:p>
            <w:pPr>
              <w:jc w:val="center"/>
              <w:rPr>
                <w:rFonts w:ascii="宋体"/>
                <w:color w:val="auto"/>
                <w:szCs w:val="21"/>
                <w:highlight w:val="auto"/>
              </w:rPr>
            </w:pPr>
            <w:r>
              <w:rPr>
                <w:rFonts w:ascii="宋体" w:hint="eastAsia"/>
                <w:color w:val="auto"/>
                <w:szCs w:val="21"/>
                <w:highlight w:val="auto"/>
              </w:rPr>
              <w:t>经营范围</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备注</w:t>
            </w:r>
          </w:p>
        </w:tc>
        <w:tc>
          <w:tcPr>
            <w:tcW w:w="7020" w:type="dxa"/>
            <w:gridSpan w:val="9"/>
            <w:vAlign w:val="center"/>
          </w:tcPr>
          <w:p>
            <w:pPr>
              <w:jc w:val="center"/>
              <w:rPr>
                <w:rFonts w:ascii="宋体"/>
                <w:color w:val="auto"/>
                <w:szCs w:val="21"/>
                <w:highlight w:val="auto"/>
              </w:rPr>
            </w:pPr>
          </w:p>
        </w:tc>
      </w:tr>
    </w:tbl>
    <w:p>
      <w:pPr>
        <w:spacing w:line="440" w:lineRule="exact"/>
        <w:rPr>
          <w:rFonts w:ascii="宋体"/>
          <w:color w:val="auto"/>
          <w:szCs w:val="21"/>
          <w:highlight w:val="auto"/>
        </w:rPr>
      </w:pPr>
      <w:r>
        <w:rPr>
          <w:rFonts w:ascii="宋体" w:hint="eastAsia"/>
          <w:color w:val="auto"/>
          <w:szCs w:val="21"/>
          <w:highlight w:val="auto"/>
        </w:rPr>
        <w:t>备注：本表后应附企业法人营业执照等合格证明材料等材料的复印件并加盖投标单位公章。</w:t>
      </w:r>
    </w:p>
    <w:p>
      <w:pPr>
        <w:pStyle w:val="44"/>
        <w:numPr>
          <w:ilvl w:val="0"/>
          <w:numId w:val="8"/>
        </w:numPr>
        <w:shd w:val="clear" w:color="auto" w:fill="FFFFFF"/>
        <w:adjustRightInd w:val="0"/>
        <w:snapToGrid w:val="0"/>
        <w:spacing w:before="0" w:beforeAutospacing="0" w:after="0" w:afterAutospacing="0" w:line="360" w:lineRule="auto"/>
        <w:rPr>
          <w:rFonts w:hint="eastAsia"/>
          <w:color w:val="auto"/>
          <w:lang w:val="en-US" w:eastAsia="zh-CN"/>
          <w:highlight w:val="auto"/>
        </w:rPr>
      </w:pPr>
      <w:r>
        <w:rPr>
          <w:color w:val="auto"/>
          <w:highlight w:val="auto"/>
        </w:rPr>
        <w:br w:type="page"/>
      </w:r>
      <w:r>
        <w:rPr>
          <w:rFonts w:hint="eastAsia"/>
          <w:color w:val="auto"/>
          <w:lang w:val="en-US" w:eastAsia="zh-CN"/>
          <w:highlight w:val="auto"/>
        </w:rPr>
        <w:t>投标人认为需要提供的其他资料（</w:t>
      </w:r>
      <w:r>
        <w:rPr>
          <w:rFonts w:hint="eastAsia"/>
          <w:b/>
          <w:bCs/>
          <w:i w:val="0"/>
          <w:iCs w:val="0"/>
          <w:color w:val="auto"/>
          <w:u w:val="single"/>
          <w:lang w:val="en-US" w:eastAsia="zh-CN"/>
          <w:highlight w:val="auto"/>
        </w:rPr>
        <w:t>货物配置清单（不含报价）等内容</w:t>
      </w:r>
      <w:r>
        <w:rPr>
          <w:rFonts w:hint="eastAsia"/>
          <w:color w:val="auto"/>
          <w:lang w:val="en-US" w:eastAsia="zh-CN"/>
          <w:highlight w:val="auto"/>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
        <w:gridCol w:w="1695"/>
        <w:gridCol w:w="1724"/>
        <w:gridCol w:w="2821"/>
        <w:gridCol w:w="1275"/>
      </w:tblGrid>
      <w:tr>
        <w:tc>
          <w:tcPr>
            <w:tcW w:w="940"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序号</w:t>
            </w:r>
          </w:p>
        </w:tc>
        <w:tc>
          <w:tcPr>
            <w:tcW w:w="1695"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所投产品名称</w:t>
            </w:r>
          </w:p>
        </w:tc>
        <w:tc>
          <w:tcPr>
            <w:tcW w:w="1724"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规格型号、产地</w:t>
            </w:r>
          </w:p>
        </w:tc>
        <w:tc>
          <w:tcPr>
            <w:tcW w:w="2821"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详细参数</w:t>
            </w:r>
          </w:p>
        </w:tc>
        <w:tc>
          <w:tcPr>
            <w:tcW w:w="1275"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备注</w:t>
            </w: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bl>
    <w:p>
      <w:pPr>
        <w:pStyle w:val="44"/>
        <w:shd w:val="clear" w:color="auto" w:fill="FFFFFF"/>
        <w:adjustRightInd w:val="0"/>
        <w:snapToGrid w:val="0"/>
        <w:spacing w:before="0" w:beforeAutospacing="0" w:after="0" w:afterAutospacing="0" w:line="360" w:lineRule="auto"/>
        <w:rPr>
          <w:rFonts w:hint="eastAsia"/>
          <w:color w:val="auto"/>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pStyle w:val="44"/>
        <w:tabs>
          <w:tab w:val="left" w:pos="312"/>
        </w:tabs>
        <w:adjustRightInd w:val="0"/>
        <w:snapToGrid w:val="0"/>
        <w:spacing w:before="0" w:beforeAutospacing="0" w:after="0" w:afterAutospacing="0" w:line="360" w:lineRule="auto"/>
        <w:ind w:leftChars="200" w:left="420"/>
        <w:rPr>
          <w:color w:val="auto"/>
          <w:highlight w:val="auto"/>
        </w:rPr>
      </w:pPr>
      <w:r>
        <w:rPr>
          <w:b/>
          <w:bCs/>
          <w:color w:val="auto"/>
          <w:sz w:val="21"/>
          <w:szCs w:val="21"/>
          <w:highlight w:val="auto"/>
        </w:rPr>
        <w:br w:type="page"/>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highlight w:val="auto"/>
        </w:rPr>
      </w:pPr>
      <w:r>
        <w:rPr>
          <w:rFonts w:ascii="宋体" w:eastAsia="宋体" w:hint="eastAsia"/>
          <w:color w:val="auto"/>
          <w:sz w:val="24"/>
          <w:szCs w:val="24"/>
          <w:lang w:val="en-US" w:eastAsia="zh-CN"/>
          <w:highlight w:val="auto"/>
        </w:rPr>
        <w:t>6.15</w:t>
      </w:r>
      <w:r>
        <w:rPr>
          <w:rFonts w:ascii="宋体" w:eastAsia="宋体" w:hint="eastAsia"/>
          <w:color w:val="auto"/>
          <w:sz w:val="24"/>
          <w:szCs w:val="24"/>
          <w:highlight w:val="auto"/>
        </w:rPr>
        <w:t>投标函</w:t>
      </w:r>
    </w:p>
    <w:p>
      <w:pPr>
        <w:adjustRightInd w:val="0"/>
        <w:snapToGrid w:val="0"/>
        <w:spacing w:line="360" w:lineRule="auto"/>
        <w:ind w:firstLineChars="200" w:firstLine="480"/>
        <w:jc w:val="center"/>
        <w:rPr>
          <w:rFonts w:ascii="宋体"/>
          <w:color w:val="auto"/>
          <w:sz w:val="24"/>
          <w:highlight w:val="auto"/>
        </w:rPr>
      </w:pPr>
      <w:r>
        <w:rPr>
          <w:rFonts w:ascii="宋体" w:hint="eastAsia"/>
          <w:b/>
          <w:color w:val="auto"/>
          <w:sz w:val="24"/>
          <w:u w:val="single"/>
          <w:highlight w:val="auto"/>
        </w:rPr>
        <w:t>投标函</w:t>
      </w:r>
    </w:p>
    <w:p>
      <w:pPr>
        <w:adjustRightInd w:val="0"/>
        <w:snapToGrid w:val="0"/>
        <w:spacing w:line="360" w:lineRule="auto"/>
        <w:rPr>
          <w:rFonts w:ascii="宋体"/>
          <w:color w:val="auto"/>
          <w:szCs w:val="21"/>
          <w:highlight w:val="auto"/>
        </w:rPr>
      </w:pPr>
      <w:r>
        <w:rPr>
          <w:rFonts w:ascii="宋体" w:hint="eastAsia"/>
          <w:color w:val="auto"/>
          <w:szCs w:val="21"/>
          <w:highlight w:val="auto"/>
        </w:rPr>
        <w:t>致：</w:t>
      </w:r>
      <w:r>
        <w:rPr>
          <w:rFonts w:ascii="宋体" w:hint="eastAsia"/>
          <w:color w:val="auto"/>
          <w:szCs w:val="21"/>
          <w:u w:val="single"/>
          <w:highlight w:val="auto"/>
        </w:rPr>
        <w:t>（采购人）</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根据采购人为</w:t>
      </w:r>
      <w:r>
        <w:rPr>
          <w:rFonts w:ascii="宋体" w:hint="eastAsia"/>
          <w:color w:val="auto"/>
          <w:szCs w:val="21"/>
          <w:u w:val="single"/>
          <w:highlight w:val="auto"/>
        </w:rPr>
        <w:t>（项目名称）</w:t>
      </w:r>
      <w:r>
        <w:rPr>
          <w:rFonts w:ascii="宋体" w:hint="eastAsia"/>
          <w:color w:val="auto"/>
          <w:szCs w:val="21"/>
          <w:highlight w:val="auto"/>
        </w:rPr>
        <w:t>项目招标采购服务的投标</w:t>
      </w:r>
      <w:r>
        <w:rPr>
          <w:rFonts w:ascii="宋体"/>
          <w:color w:val="auto"/>
          <w:szCs w:val="21"/>
          <w:u w:val="single"/>
          <w:highlight w:val="auto"/>
        </w:rPr>
        <w:t xml:space="preserve">  (</w:t>
      </w:r>
      <w:r>
        <w:rPr>
          <w:rFonts w:ascii="宋体" w:hint="eastAsia"/>
          <w:color w:val="auto"/>
          <w:szCs w:val="21"/>
          <w:u w:val="single"/>
          <w:highlight w:val="auto"/>
        </w:rPr>
        <w:t>项目编号）</w:t>
      </w:r>
      <w:r>
        <w:rPr>
          <w:rFonts w:ascii="宋体"/>
          <w:color w:val="auto"/>
          <w:szCs w:val="21"/>
          <w:u w:val="single"/>
          <w:highlight w:val="auto"/>
        </w:rPr>
        <w:t xml:space="preserve"> </w:t>
      </w:r>
      <w:r>
        <w:rPr>
          <w:rFonts w:ascii="宋体" w:hint="eastAsia"/>
          <w:color w:val="auto"/>
          <w:szCs w:val="21"/>
          <w:highlight w:val="auto"/>
        </w:rPr>
        <w:t>，供应商</w:t>
      </w:r>
      <w:r>
        <w:rPr>
          <w:rFonts w:ascii="宋体"/>
          <w:color w:val="auto"/>
          <w:szCs w:val="21"/>
          <w:u w:val="single"/>
          <w:highlight w:val="auto"/>
        </w:rPr>
        <w:t xml:space="preserve">  (</w:t>
      </w:r>
      <w:r>
        <w:rPr>
          <w:rFonts w:ascii="宋体" w:hint="eastAsia"/>
          <w:color w:val="auto"/>
          <w:szCs w:val="21"/>
          <w:u w:val="single"/>
          <w:highlight w:val="auto"/>
        </w:rPr>
        <w:t>供应商名称、地址）</w:t>
      </w:r>
      <w:r>
        <w:rPr>
          <w:rFonts w:ascii="宋体"/>
          <w:color w:val="auto"/>
          <w:szCs w:val="21"/>
          <w:u w:val="single"/>
          <w:highlight w:val="auto"/>
        </w:rPr>
        <w:t xml:space="preserve"> </w:t>
      </w:r>
      <w:r>
        <w:rPr>
          <w:rFonts w:ascii="宋体" w:hint="eastAsia"/>
          <w:color w:val="auto"/>
          <w:szCs w:val="21"/>
          <w:highlight w:val="auto"/>
        </w:rPr>
        <w:t>提交下述文件正本一份及副本四份</w:t>
      </w:r>
      <w:r>
        <w:rPr>
          <w:rFonts w:ascii="宋体" w:hint="eastAsia"/>
          <w:color w:val="auto"/>
          <w:szCs w:val="21"/>
          <w:lang w:eastAsia="zh-CN"/>
          <w:highlight w:val="auto"/>
        </w:rPr>
        <w:t>，</w:t>
      </w:r>
      <w:r>
        <w:rPr>
          <w:rFonts w:ascii="宋体" w:hint="eastAsia"/>
          <w:color w:val="auto"/>
          <w:szCs w:val="21"/>
          <w:lang w:val="en-US" w:eastAsia="zh-CN"/>
          <w:highlight w:val="auto"/>
        </w:rPr>
        <w:t>电子文档一份</w:t>
      </w:r>
      <w:r>
        <w:rPr>
          <w:rFonts w:ascii="宋体" w:hint="eastAsia"/>
          <w:color w:val="auto"/>
          <w:szCs w:val="21"/>
          <w:highlight w:val="auto"/>
        </w:rPr>
        <w:t>：</w:t>
      </w:r>
    </w:p>
    <w:p>
      <w:pPr>
        <w:numPr>
          <w:ilvl w:val="0"/>
          <w:numId w:val="9"/>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lang w:val="en-US" w:eastAsia="zh-CN"/>
          <w:highlight w:val="auto"/>
        </w:rPr>
        <w:t>投标函</w:t>
      </w:r>
    </w:p>
    <w:p>
      <w:pPr>
        <w:numPr>
          <w:ilvl w:val="0"/>
          <w:numId w:val="9"/>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开标一览表</w:t>
      </w:r>
    </w:p>
    <w:p>
      <w:pPr>
        <w:numPr>
          <w:ilvl w:val="0"/>
          <w:numId w:val="9"/>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报价明细表</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据此，供应商同意如下内容：</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1</w:t>
      </w:r>
      <w:r>
        <w:rPr>
          <w:rFonts w:ascii="宋体" w:hint="eastAsia"/>
          <w:color w:val="auto"/>
          <w:szCs w:val="21"/>
          <w:highlight w:val="auto"/>
        </w:rPr>
        <w:t>、所附投标价格表中规定的投标总价为</w:t>
      </w:r>
      <w:r>
        <w:rPr>
          <w:rFonts w:ascii="宋体" w:hint="eastAsia"/>
          <w:color w:val="auto"/>
          <w:szCs w:val="21"/>
          <w:lang w:val="en-US" w:eastAsia="zh-CN"/>
          <w:highlight w:val="auto"/>
        </w:rPr>
        <w:t xml:space="preserve"> </w:t>
      </w:r>
      <w:r>
        <w:rPr>
          <w:rFonts w:ascii="宋体" w:hint="eastAsia"/>
          <w:color w:val="auto"/>
          <w:szCs w:val="21"/>
          <w:u w:val="single"/>
          <w:lang w:val="en-US" w:eastAsia="zh-CN"/>
          <w:highlight w:val="auto"/>
        </w:rPr>
        <w:t xml:space="preserve"> 详见开标一览表</w:t>
      </w:r>
      <w:r>
        <w:rPr>
          <w:rFonts w:ascii="宋体" w:hint="eastAsia"/>
          <w:color w:val="auto"/>
          <w:szCs w:val="21"/>
          <w:u w:val="single"/>
          <w:highlight w:val="auto"/>
        </w:rPr>
        <w:t>（注明币种，并用文字和数字表示的投标总价）</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、供应商将按采购文件的规定履行合同责任和义务。</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3</w:t>
      </w:r>
      <w:r>
        <w:rPr>
          <w:rFonts w:ascii="宋体" w:hint="eastAsia"/>
          <w:color w:val="auto"/>
          <w:szCs w:val="21"/>
          <w:highlight w:val="auto"/>
        </w:rPr>
        <w:t>、供应商已详细审解读全部采购文件，（包括第编号、补遗书）（如</w:t>
      </w:r>
      <w:r>
        <w:rPr>
          <w:rFonts w:ascii="宋体" w:hint="eastAsia"/>
          <w:color w:val="auto"/>
          <w:szCs w:val="21"/>
          <w:lang w:val="en-US" w:eastAsia="zh-CN"/>
          <w:highlight w:val="auto"/>
        </w:rPr>
        <w:t>有</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4</w:t>
      </w:r>
      <w:r>
        <w:rPr>
          <w:rFonts w:ascii="宋体" w:hint="eastAsia"/>
          <w:color w:val="auto"/>
          <w:szCs w:val="21"/>
          <w:highlight w:val="auto"/>
        </w:rPr>
        <w:t>、遵从本投标有效期为</w:t>
      </w:r>
      <w:r>
        <w:rPr>
          <w:rFonts w:ascii="宋体"/>
          <w:color w:val="auto"/>
          <w:szCs w:val="21"/>
          <w:highlight w:val="auto"/>
        </w:rPr>
        <w:t xml:space="preserve"> </w:t>
      </w:r>
      <w:r>
        <w:rPr>
          <w:rFonts w:ascii="宋体"/>
          <w:color w:val="auto"/>
          <w:szCs w:val="21"/>
          <w:u w:val="single"/>
          <w:highlight w:val="auto"/>
        </w:rPr>
        <w:t xml:space="preserve">      </w:t>
      </w:r>
      <w:r>
        <w:rPr>
          <w:rFonts w:ascii="宋体" w:hint="eastAsia"/>
          <w:color w:val="auto"/>
          <w:szCs w:val="21"/>
          <w:u w:val="none"/>
          <w:lang w:val="en-US" w:eastAsia="zh-CN"/>
          <w:highlight w:val="auto"/>
        </w:rPr>
        <w:t>日历</w:t>
      </w:r>
      <w:r>
        <w:rPr>
          <w:rFonts w:ascii="宋体" w:hint="eastAsia"/>
          <w:color w:val="auto"/>
          <w:szCs w:val="21"/>
          <w:u w:val="none"/>
          <w:highlight w:val="auto"/>
        </w:rPr>
        <w:t>天</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5</w:t>
      </w:r>
      <w:r>
        <w:rPr>
          <w:rFonts w:ascii="宋体" w:hint="eastAsia"/>
          <w:color w:val="auto"/>
          <w:szCs w:val="21"/>
          <w:highlight w:val="auto"/>
        </w:rPr>
        <w:t>、我方承诺，与贵方聘请的为此项目提供咨询服务的公司及任何附属机构均无关联关系，我方不是贵方的附属机构。</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6</w:t>
      </w:r>
      <w:r>
        <w:rPr>
          <w:rFonts w:ascii="宋体" w:hint="eastAsia"/>
          <w:color w:val="auto"/>
          <w:szCs w:val="21"/>
          <w:highlight w:val="auto"/>
        </w:rPr>
        <w:t>、我方同意提供按照贵方可能要求的与其投标有关的一切数据或资料，完全理解贵方不一定接受最低价的投标。</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7</w:t>
      </w:r>
      <w:r>
        <w:rPr>
          <w:rFonts w:ascii="宋体" w:hint="eastAsia"/>
          <w:color w:val="auto"/>
          <w:szCs w:val="21"/>
          <w:highlight w:val="auto"/>
        </w:rPr>
        <w:t>、我方承诺：我方不得将本次招标或合同的有关资料向第三方透露。</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8</w:t>
      </w:r>
      <w:r>
        <w:rPr>
          <w:rFonts w:ascii="宋体" w:hint="eastAsia"/>
          <w:color w:val="auto"/>
          <w:szCs w:val="21"/>
          <w:highlight w:val="auto"/>
        </w:rPr>
        <w:t>、与本投标有关的一切正式往来信函请寄：</w:t>
      </w:r>
    </w:p>
    <w:p>
      <w:pPr>
        <w:adjustRightInd w:val="0"/>
        <w:snapToGrid w:val="0"/>
        <w:spacing w:line="360" w:lineRule="auto"/>
        <w:ind w:firstLineChars="200" w:firstLine="420"/>
        <w:rPr>
          <w:rFonts w:ascii="宋体"/>
          <w:color w:val="auto"/>
          <w:szCs w:val="21"/>
          <w:u w:val="single"/>
          <w:highlight w:val="auto"/>
        </w:rPr>
      </w:pPr>
      <w:r>
        <w:rPr>
          <w:rFonts w:ascii="宋体" w:hint="eastAsia"/>
          <w:color w:val="auto"/>
          <w:szCs w:val="21"/>
          <w:highlight w:val="auto"/>
        </w:rPr>
        <w:t>地址</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邮编</w:t>
      </w:r>
      <w:r>
        <w:rPr>
          <w:rFonts w:ascii="宋体"/>
          <w:color w:val="auto"/>
          <w:szCs w:val="21"/>
          <w:u w:val="single"/>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传真</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电话</w:t>
      </w:r>
      <w:r>
        <w:rPr>
          <w:rFonts w:ascii="宋体"/>
          <w:color w:val="auto"/>
          <w:szCs w:val="21"/>
          <w:u w:val="single"/>
          <w:highlight w:val="auto"/>
        </w:rPr>
        <w:t xml:space="preserve">                 </w:t>
      </w:r>
      <w:r>
        <w:rPr>
          <w:rFonts w:ascii="宋体"/>
          <w:color w:val="auto"/>
          <w:szCs w:val="21"/>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电子邮箱</w:t>
      </w:r>
      <w:r>
        <w:rPr>
          <w:rFonts w:ascii="宋体"/>
          <w:color w:val="auto"/>
          <w:szCs w:val="21"/>
          <w:u w:val="single"/>
          <w:highlight w:val="auto"/>
        </w:rPr>
        <w:t xml:space="preserve">                    </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r>
        <w:rPr>
          <w:rFonts w:ascii="宋体"/>
          <w:color w:val="auto"/>
          <w:szCs w:val="21"/>
          <w:highlight w:val="auto"/>
        </w:rPr>
        <w:t xml:space="preserve">  </w:t>
      </w:r>
    </w:p>
    <w:p>
      <w:pPr>
        <w:adjustRightInd w:val="0"/>
        <w:snapToGrid w:val="0"/>
        <w:spacing w:line="360" w:lineRule="auto"/>
        <w:ind w:firstLineChars="200" w:firstLine="420"/>
        <w:jc w:val="right"/>
        <w:rPr>
          <w:rFonts w:ascii="宋体"/>
          <w:color w:val="auto"/>
          <w:sz w:val="24"/>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olor w:val="auto"/>
          <w:sz w:val="24"/>
          <w:highlight w:val="auto"/>
        </w:rPr>
        <w:br w:type="page"/>
      </w:r>
      <w:bookmarkStart w:id="139" w:name="_Toc368993658"/>
      <w:bookmarkStart w:id="140" w:name="_Toc371002590"/>
      <w:bookmarkStart w:id="141" w:name="_Toc60757541"/>
      <w:bookmarkStart w:id="142" w:name="_Toc107822559"/>
      <w:bookmarkStart w:id="143" w:name="_Toc31880"/>
      <w:bookmarkStart w:id="144" w:name="_Toc468296146"/>
      <w:bookmarkStart w:id="145" w:name="_Toc226969361"/>
      <w:bookmarkStart w:id="146" w:name="_Toc227057967"/>
      <w:bookmarkStart w:id="147" w:name="_Toc488655908"/>
      <w:r>
        <w:rPr>
          <w:rFonts w:ascii="宋体" w:eastAsia="宋体"/>
          <w:color w:val="auto"/>
          <w:sz w:val="24"/>
          <w:szCs w:val="24"/>
          <w:highlight w:val="auto"/>
        </w:rPr>
        <w:t>6.</w:t>
      </w:r>
      <w:r>
        <w:rPr>
          <w:rFonts w:ascii="宋体" w:eastAsia="宋体" w:hint="eastAsia"/>
          <w:color w:val="auto"/>
          <w:sz w:val="24"/>
          <w:szCs w:val="24"/>
          <w:lang w:val="en-US" w:eastAsia="zh-CN"/>
          <w:highlight w:val="auto"/>
        </w:rPr>
        <w:t>16-1</w:t>
      </w:r>
      <w:r>
        <w:rPr>
          <w:rFonts w:ascii="宋体" w:eastAsia="宋体"/>
          <w:color w:val="auto"/>
          <w:sz w:val="24"/>
          <w:szCs w:val="24"/>
          <w:highlight w:val="auto"/>
        </w:rPr>
        <w:t xml:space="preserve">  </w:t>
      </w:r>
      <w:r>
        <w:rPr>
          <w:rFonts w:ascii="宋体" w:eastAsia="宋体" w:hint="eastAsia"/>
          <w:color w:val="auto"/>
          <w:sz w:val="24"/>
          <w:szCs w:val="24"/>
          <w:highlight w:val="auto"/>
        </w:rPr>
        <w:t>开标一览表</w:t>
      </w:r>
      <w:bookmarkEnd w:id="139"/>
      <w:bookmarkEnd w:id="140"/>
      <w:bookmarkEnd w:id="141"/>
      <w:bookmarkEnd w:id="142"/>
      <w:bookmarkEnd w:id="143"/>
      <w:bookmarkEnd w:id="144"/>
      <w:bookmarkEnd w:id="145"/>
      <w:bookmarkEnd w:id="146"/>
    </w:p>
    <w:p>
      <w:pPr>
        <w:jc w:val="center"/>
        <w:rPr>
          <w:rFonts w:ascii="宋体"/>
          <w:b/>
          <w:color w:val="auto"/>
          <w:sz w:val="24"/>
          <w:highlight w:val="auto"/>
        </w:rPr>
      </w:pPr>
      <w:bookmarkStart w:id="148" w:name="_Toc106527636"/>
    </w:p>
    <w:p>
      <w:pPr>
        <w:adjustRightInd w:val="0"/>
        <w:snapToGrid w:val="0"/>
        <w:spacing w:line="360" w:lineRule="auto"/>
        <w:jc w:val="center"/>
        <w:rPr>
          <w:rFonts w:ascii="宋体" w:eastAsia="宋体"/>
          <w:b/>
          <w:snapToGrid w:val="0"/>
          <w:color w:val="auto"/>
          <w:kern w:val="0"/>
          <w:sz w:val="32"/>
          <w:szCs w:val="32"/>
          <w:lang w:val="en-US" w:eastAsia="zh-CN"/>
          <w:highlight w:val="auto"/>
        </w:rPr>
      </w:pPr>
      <w:bookmarkEnd w:id="147"/>
      <w:bookmarkEnd w:id="148"/>
      <w:r>
        <w:rPr>
          <w:rFonts w:ascii="宋体" w:hint="eastAsia"/>
          <w:b/>
          <w:snapToGrid w:val="0"/>
          <w:color w:val="auto"/>
          <w:kern w:val="0"/>
          <w:sz w:val="32"/>
          <w:szCs w:val="32"/>
          <w:highlight w:val="auto"/>
        </w:rPr>
        <w:t>开标一览表</w:t>
      </w:r>
    </w:p>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项目名称：</w:t>
      </w:r>
      <w:r>
        <w:rPr>
          <w:rFonts w:ascii="宋体"/>
          <w:snapToGrid w:val="0"/>
          <w:color w:val="auto"/>
          <w:kern w:val="0"/>
          <w:szCs w:val="21"/>
          <w:highlight w:val="auto"/>
        </w:rPr>
        <w:t xml:space="preserve">                    </w:t>
      </w:r>
      <w:r>
        <w:rPr>
          <w:rFonts w:ascii="宋体" w:hint="eastAsia"/>
          <w:snapToGrid w:val="0"/>
          <w:color w:val="auto"/>
          <w:kern w:val="0"/>
          <w:szCs w:val="21"/>
          <w:highlight w:val="auto"/>
        </w:rPr>
        <w:t>项目编号：</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p>
    <w:tbl>
      <w:tblPr>
        <w:jc w:val="center"/>
        <w:tblW w:w="848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637"/>
        <w:gridCol w:w="1269"/>
        <w:gridCol w:w="648"/>
        <w:gridCol w:w="820"/>
        <w:gridCol w:w="1328"/>
        <w:gridCol w:w="1097"/>
        <w:gridCol w:w="923"/>
        <w:gridCol w:w="763"/>
      </w:tblGrid>
      <w:tr>
        <w:tc>
          <w:tcPr>
            <w:tcW w:w="1637"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cs="Times New Roman" w:hint="eastAsia"/>
                <w:snapToGrid w:val="0"/>
                <w:color w:val="auto"/>
                <w:kern w:val="0"/>
                <w:szCs w:val="21"/>
                <w:lang w:val="en-US" w:eastAsia="zh-CN"/>
                <w:highlight w:val="auto"/>
              </w:rPr>
              <w:t>采购</w:t>
            </w:r>
            <w:r>
              <w:rPr>
                <w:rFonts w:ascii="宋体" w:eastAsia="宋体" w:cs="Times New Roman" w:hint="eastAsia"/>
                <w:snapToGrid w:val="0"/>
                <w:color w:val="auto"/>
                <w:kern w:val="0"/>
                <w:szCs w:val="21"/>
                <w:highlight w:val="auto"/>
              </w:rPr>
              <w:t>内容</w:t>
            </w:r>
          </w:p>
        </w:tc>
        <w:tc>
          <w:tcPr>
            <w:tcW w:w="1269"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型号和规格</w:t>
            </w:r>
          </w:p>
        </w:tc>
        <w:tc>
          <w:tcPr>
            <w:tcW w:w="648"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数量</w:t>
            </w:r>
          </w:p>
        </w:tc>
        <w:tc>
          <w:tcPr>
            <w:tcW w:w="820"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单位</w:t>
            </w:r>
          </w:p>
        </w:tc>
        <w:tc>
          <w:tcPr>
            <w:tcW w:w="1328" w:type="dxa"/>
            <w:noWrap/>
            <w:vAlign w:val="center"/>
          </w:tcPr>
          <w:p>
            <w:pPr>
              <w:adjustRightInd w:val="0"/>
              <w:snapToGrid w:val="0"/>
              <w:spacing w:line="360" w:lineRule="auto"/>
              <w:jc w:val="center"/>
              <w:rPr>
                <w:rFonts w:ascii="宋体" w:eastAsia="宋体" w:cs="Times New Roman" w:hint="eastAsia"/>
                <w:snapToGrid w:val="0"/>
                <w:color w:val="auto"/>
                <w:kern w:val="0"/>
                <w:szCs w:val="21"/>
                <w:lang w:eastAsia="zh-CN"/>
                <w:highlight w:val="auto"/>
              </w:rPr>
            </w:pPr>
            <w:r>
              <w:rPr>
                <w:rFonts w:ascii="宋体" w:eastAsia="宋体" w:cs="Times New Roman" w:hint="eastAsia"/>
                <w:snapToGrid w:val="0"/>
                <w:color w:val="auto"/>
                <w:kern w:val="0"/>
                <w:szCs w:val="21"/>
                <w:lang w:eastAsia="zh-CN"/>
                <w:highlight w:val="auto"/>
              </w:rPr>
              <w:t>制造商名称和</w:t>
            </w:r>
            <w:r>
              <w:rPr>
                <w:rFonts w:ascii="宋体" w:eastAsia="宋体" w:cs="Times New Roman" w:hint="eastAsia"/>
                <w:snapToGrid w:val="0"/>
                <w:color w:val="auto"/>
                <w:kern w:val="0"/>
                <w:szCs w:val="21"/>
                <w:lang w:val="en-US" w:eastAsia="zh-CN"/>
                <w:highlight w:val="auto"/>
              </w:rPr>
              <w:t>产地</w:t>
            </w:r>
          </w:p>
        </w:tc>
        <w:tc>
          <w:tcPr>
            <w:tcW w:w="1097"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单价（元/台套）</w:t>
            </w:r>
          </w:p>
        </w:tc>
        <w:tc>
          <w:tcPr>
            <w:tcW w:w="923"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小计（元）</w:t>
            </w:r>
          </w:p>
        </w:tc>
        <w:tc>
          <w:tcPr>
            <w:tcW w:w="763"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备注</w:t>
            </w: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平行浓缩仪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1</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shd w:val="clear" w:color="auto" w:fill="auto"/>
            <w:noWrap/>
            <w:vAlign w:val="center"/>
          </w:tcPr>
          <w:p>
            <w:pPr>
              <w:spacing w:line="360" w:lineRule="auto"/>
              <w:jc w:val="center"/>
              <w:rPr>
                <w:rFonts w:ascii="宋体" w:eastAsia="宋体" w:cs="Times New Roman" w:hint="eastAsia"/>
                <w:snapToGrid w:val="0"/>
                <w:color w:val="auto"/>
                <w:kern w:val="0"/>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2</w:t>
            </w:r>
          </w:p>
        </w:tc>
        <w:tc>
          <w:tcPr>
            <w:tcW w:w="1269" w:type="dxa"/>
            <w:shd w:val="clear" w:color="auto" w:fill="auto"/>
            <w:noWrap/>
            <w:vAlign w:val="center"/>
          </w:tcPr>
          <w:p>
            <w:pPr>
              <w:spacing w:line="360" w:lineRule="auto"/>
              <w:jc w:val="center"/>
              <w:rPr>
                <w:rFonts w:ascii="Times New Roman" w:eastAsia="宋体" w:cs="Times New Roman" w:hAnsi="Times New Roman" w:hint="eastAsia"/>
                <w:color w:val="auto"/>
                <w:kern w:val="2"/>
                <w:sz w:val="21"/>
                <w:szCs w:val="24"/>
                <w:lang w:val="en-US" w:eastAsia="zh-CN" w:bidi="ar-SA"/>
                <w:highlight w:val="auto"/>
              </w:rPr>
            </w:pPr>
            <w:r>
              <w:rPr>
                <w:rFonts w:ascii="宋体" w:hint="eastAsia"/>
                <w:color w:val="auto"/>
                <w:szCs w:val="21"/>
                <w:lang w:val="en-US" w:eastAsia="zh-CN"/>
                <w:highlight w:val="auto"/>
              </w:rPr>
              <w:t xml:space="preserve"> </w:t>
            </w:r>
          </w:p>
        </w:tc>
        <w:tc>
          <w:tcPr>
            <w:tcW w:w="648" w:type="dxa"/>
            <w:shd w:val="clear" w:color="auto" w:fill="auto"/>
            <w:noWrap/>
            <w:vAlign w:val="center"/>
          </w:tcPr>
          <w:p>
            <w:pPr>
              <w:spacing w:line="360" w:lineRule="auto"/>
              <w:jc w:val="center"/>
              <w:rPr>
                <w:rFonts w:ascii="Times New Roman" w:eastAsia="宋体" w:cs="Times New Roman" w:hAnsi="Times New Roman" w:hint="eastAsia"/>
                <w:color w:val="auto"/>
                <w:kern w:val="2"/>
                <w:sz w:val="21"/>
                <w:szCs w:val="24"/>
                <w:lang w:val="en-US" w:eastAsia="zh-CN" w:bidi="ar-SA"/>
                <w:highlight w:val="auto"/>
              </w:rPr>
            </w:pPr>
            <w:r>
              <w:rPr>
                <w:rFonts w:ascii="宋体" w:hint="eastAsia"/>
                <w:color w:val="auto"/>
                <w:szCs w:val="21"/>
                <w:lang w:eastAsia="zh-CN"/>
                <w:highlight w:val="auto"/>
              </w:rPr>
              <w:t>1</w:t>
            </w:r>
          </w:p>
        </w:tc>
        <w:tc>
          <w:tcPr>
            <w:tcW w:w="820" w:type="dxa"/>
            <w:shd w:val="clear" w:color="auto" w:fill="auto"/>
            <w:noWrap/>
            <w:vAlign w:val="center"/>
          </w:tcPr>
          <w:p>
            <w:pPr>
              <w:spacing w:line="360" w:lineRule="auto"/>
              <w:jc w:val="center"/>
              <w:rPr>
                <w:rFonts w:ascii="Times New Roman" w:eastAsia="宋体" w:cs="Times New Roman" w:hAnsi="Times New Roman" w:hint="eastAsia"/>
                <w:color w:val="auto"/>
                <w:kern w:val="2"/>
                <w:sz w:val="21"/>
                <w:szCs w:val="24"/>
                <w:lang w:val="en-US" w:eastAsia="zh-CN" w:bidi="ar-SA"/>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研磨仪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凝胶色谱仪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3554" w:type="dxa"/>
            <w:gridSpan w:val="3"/>
            <w:noWrap/>
            <w:vAlign w:val="center"/>
          </w:tcPr>
          <w:p>
            <w:pPr>
              <w:spacing w:line="360" w:lineRule="auto"/>
              <w:jc w:val="center"/>
              <w:rPr>
                <w:rFonts w:ascii="宋体" w:eastAsia="宋体" w:hint="eastAsia"/>
                <w:color w:val="auto"/>
                <w:szCs w:val="21"/>
                <w:lang w:eastAsia="zh-CN"/>
                <w:highlight w:val="auto"/>
              </w:rPr>
            </w:pPr>
            <w:r>
              <w:rPr>
                <w:color w:val="auto"/>
                <w:highlight w:val="auto"/>
              </w:rPr>
              <w:t>投标总价</w:t>
            </w:r>
          </w:p>
        </w:tc>
        <w:tc>
          <w:tcPr>
            <w:tcW w:w="4931" w:type="dxa"/>
            <w:gridSpan w:val="5"/>
            <w:noWrap/>
            <w:vAlign w:val="center"/>
          </w:tcPr>
          <w:p>
            <w:pPr>
              <w:spacing w:line="360" w:lineRule="auto"/>
              <w:rPr>
                <w:color w:val="auto"/>
                <w:highlight w:val="auto"/>
              </w:rPr>
            </w:pPr>
            <w:r>
              <w:rPr>
                <w:color w:val="auto"/>
                <w:highlight w:val="auto"/>
              </w:rPr>
              <w:t>小写：</w:t>
            </w:r>
            <w:r>
              <w:rPr>
                <w:color w:val="auto"/>
                <w:u w:val="single"/>
                <w:highlight w:val="auto"/>
              </w:rPr>
              <w:t xml:space="preserve">                        </w:t>
            </w:r>
          </w:p>
          <w:p>
            <w:pPr>
              <w:spacing w:line="480" w:lineRule="auto"/>
              <w:rPr>
                <w:color w:val="auto"/>
                <w:highlight w:val="auto"/>
              </w:rPr>
            </w:pPr>
            <w:r>
              <w:rPr>
                <w:color w:val="auto"/>
                <w:highlight w:val="auto"/>
              </w:rPr>
              <w:t>大写：</w:t>
            </w:r>
            <w:r>
              <w:rPr>
                <w:color w:val="auto"/>
                <w:u w:val="single"/>
                <w:highlight w:val="auto"/>
              </w:rPr>
              <w:t xml:space="preserve">                        </w:t>
            </w:r>
          </w:p>
        </w:tc>
      </w:tr>
    </w:tbl>
    <w:p>
      <w:pPr>
        <w:adjustRightInd w:val="0"/>
        <w:snapToGrid w:val="0"/>
        <w:spacing w:line="360" w:lineRule="auto"/>
        <w:jc w:val="left"/>
        <w:rPr>
          <w:rFonts w:ascii="宋体"/>
          <w:snapToGrid w:val="0"/>
          <w:color w:val="auto"/>
          <w:kern w:val="0"/>
          <w:szCs w:val="21"/>
          <w:highlight w:val="auto"/>
        </w:rPr>
      </w:pPr>
    </w:p>
    <w:p>
      <w:pPr>
        <w:adjustRightInd w:val="0"/>
        <w:snapToGrid w:val="0"/>
        <w:spacing w:line="300" w:lineRule="auto"/>
        <w:ind w:left="0" w:firstLineChars="200" w:firstLine="420"/>
        <w:rPr>
          <w:rFonts w:ascii="Times New Roman" w:eastAsia="宋体" w:cs="Times New Roman" w:hAnsi="Times New Roman" w:hint="eastAsia"/>
          <w:color w:val="auto"/>
          <w:highlight w:val="auto"/>
        </w:rPr>
      </w:pPr>
      <w:r>
        <w:rPr>
          <w:rFonts w:ascii="Times New Roman" w:eastAsia="宋体" w:cs="Times New Roman" w:hAnsi="Times New Roman" w:hint="eastAsia"/>
          <w:color w:val="auto"/>
          <w:highlight w:val="auto"/>
        </w:rPr>
        <w:t>注：</w:t>
      </w:r>
      <w:r>
        <w:rPr>
          <w:rFonts w:ascii="Times New Roman" w:eastAsia="宋体" w:cs="Times New Roman" w:hAnsi="Times New Roman" w:hint="eastAsia"/>
          <w:color w:val="auto"/>
          <w:lang w:val="en-US" w:eastAsia="zh-CN"/>
          <w:highlight w:val="auto"/>
        </w:rPr>
        <w:t>1、</w:t>
      </w:r>
      <w:r>
        <w:rPr>
          <w:rFonts w:ascii="Times New Roman" w:eastAsia="宋体" w:cs="Times New Roman" w:hAnsi="Times New Roman" w:hint="eastAsia"/>
          <w:color w:val="auto"/>
          <w:highlight w:val="auto"/>
        </w:rPr>
        <w:t>“报价方式”以一次报清，完成本项目清单及技术规范所需的所有费用必须包含在投标总价中。</w:t>
      </w:r>
    </w:p>
    <w:p>
      <w:pPr>
        <w:numPr>
          <w:ilvl w:val="0"/>
          <w:numId w:val="10"/>
        </w:numPr>
        <w:adjustRightInd w:val="0"/>
        <w:snapToGrid w:val="0"/>
        <w:spacing w:line="300" w:lineRule="auto"/>
        <w:ind w:left="0" w:firstLineChars="200" w:firstLine="420"/>
        <w:rPr>
          <w:rFonts w:ascii="Times New Roman" w:eastAsia="宋体" w:cs="Times New Roman" w:hAnsi="Times New Roman"/>
          <w:color w:val="auto"/>
          <w:highlight w:val="auto"/>
        </w:rPr>
      </w:pPr>
      <w:r>
        <w:rPr>
          <w:rFonts w:ascii="Times New Roman" w:eastAsia="宋体" w:cs="Times New Roman" w:hAnsi="Times New Roman"/>
          <w:color w:val="auto"/>
          <w:highlight w:val="auto"/>
        </w:rPr>
        <w:t>开标一览表上任何超出采购文件的优惠内容均不计入评标。</w:t>
      </w:r>
    </w:p>
    <w:p>
      <w:pPr>
        <w:pStyle w:val="1"/>
        <w:numPr>
          <w:ilvl w:val="0"/>
          <w:numId w:val="0"/>
        </w:numPr>
        <w:rPr>
          <w:color w:val="auto"/>
          <w:highlight w:val="auto"/>
        </w:rPr>
      </w:pPr>
    </w:p>
    <w:p>
      <w:pPr>
        <w:adjustRightInd w:val="0"/>
        <w:snapToGrid w:val="0"/>
        <w:spacing w:line="360" w:lineRule="auto"/>
        <w:rPr>
          <w:rFonts w:ascii="宋体"/>
          <w:snapToGrid w:val="0"/>
          <w:color w:val="auto"/>
          <w:kern w:val="0"/>
          <w:szCs w:val="21"/>
          <w:highlight w:val="auto"/>
        </w:rPr>
      </w:pP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pStyle w:val="28"/>
        <w:adjustRightInd w:val="0"/>
        <w:snapToGrid w:val="0"/>
        <w:spacing w:line="360" w:lineRule="auto"/>
        <w:ind w:firstLineChars="1771" w:firstLine="3544"/>
        <w:rPr>
          <w:rFonts w:hint="eastAsia"/>
          <w:color w:val="auto"/>
          <w:szCs w:val="21"/>
          <w:highlight w:val="auto"/>
        </w:rPr>
        <w:sectPr>
          <w:pgSz w:w="11911" w:h="16838"/>
          <w:pgMar w:top="1502" w:right="1378" w:bottom="1780" w:left="1582" w:header="0" w:footer="1378" w:gutter="0"/>
          <w:docGrid w:linePitch="312" w:charSpace="0"/>
        </w:sect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p>
    <w:p>
      <w:pPr>
        <w:pStyle w:val="28"/>
        <w:adjustRightInd w:val="0"/>
        <w:snapToGrid w:val="0"/>
        <w:spacing w:line="360" w:lineRule="auto"/>
        <w:ind w:firstLineChars="1771" w:firstLine="3544"/>
        <w:rPr>
          <w:rFonts w:hint="eastAsia"/>
          <w:color w:val="auto"/>
          <w:szCs w:val="21"/>
          <w:highlight w:val="auto"/>
        </w:rPr>
      </w:pPr>
    </w:p>
    <w:p>
      <w:pPr>
        <w:widowControl/>
        <w:jc w:val="right"/>
        <w:rPr>
          <w:rFonts w:ascii="宋体"/>
          <w:iCs/>
          <w:color w:val="auto"/>
          <w:sz w:val="24"/>
          <w:highlight w:val="auto"/>
        </w:rPr>
      </w:pPr>
    </w:p>
    <w:p>
      <w:pPr>
        <w:pStyle w:val="2"/>
        <w:numPr>
          <w:ilvl w:val="0"/>
          <w:numId w:val="0"/>
        </w:numPr>
        <w:tabs>
          <w:tab w:val="clear" w:pos="425"/>
        </w:tabs>
        <w:adjustRightInd w:val="0"/>
        <w:snapToGrid w:val="0"/>
        <w:spacing w:beforeLines="50" w:before="156" w:after="0" w:line="360" w:lineRule="auto"/>
        <w:ind w:left="567"/>
        <w:rPr>
          <w:rFonts w:ascii="宋体" w:eastAsia="宋体" w:hint="eastAsia"/>
          <w:b w:val="0"/>
          <w:color w:val="auto"/>
          <w:sz w:val="24"/>
          <w:szCs w:val="24"/>
          <w:lang w:eastAsia="zh-CN"/>
          <w:highlight w:val="auto"/>
        </w:rPr>
      </w:pPr>
      <w:bookmarkStart w:id="149" w:name="_Toc368993659"/>
      <w:bookmarkStart w:id="150" w:name="_Toc107822560"/>
      <w:bookmarkStart w:id="151" w:name="_Toc226969362"/>
      <w:bookmarkStart w:id="152" w:name="_Toc227057968"/>
      <w:bookmarkStart w:id="153" w:name="_Toc371002591"/>
      <w:bookmarkStart w:id="154" w:name="_Toc60757542"/>
      <w:bookmarkStart w:id="155" w:name="_Toc32374"/>
      <w:bookmarkStart w:id="156" w:name="_Toc468296147"/>
      <w:bookmarkStart w:id="157" w:name="_Toc488655909"/>
      <w:r>
        <w:rPr>
          <w:rFonts w:ascii="宋体" w:eastAsia="宋体"/>
          <w:color w:val="auto"/>
          <w:sz w:val="24"/>
          <w:szCs w:val="24"/>
          <w:highlight w:val="auto"/>
        </w:rPr>
        <w:t>6.</w:t>
      </w:r>
      <w:r>
        <w:rPr>
          <w:rFonts w:ascii="宋体" w:eastAsia="宋体" w:hint="eastAsia"/>
          <w:color w:val="auto"/>
          <w:sz w:val="24"/>
          <w:szCs w:val="24"/>
          <w:lang w:val="en-US" w:eastAsia="zh-CN"/>
          <w:highlight w:val="auto"/>
        </w:rPr>
        <w:t>16-1</w:t>
      </w:r>
      <w:r>
        <w:rPr>
          <w:rFonts w:ascii="宋体" w:eastAsia="宋体"/>
          <w:color w:val="auto"/>
          <w:sz w:val="24"/>
          <w:szCs w:val="24"/>
          <w:highlight w:val="auto"/>
        </w:rPr>
        <w:t xml:space="preserve"> </w:t>
      </w:r>
      <w:r>
        <w:rPr>
          <w:rFonts w:ascii="宋体" w:eastAsia="宋体" w:hint="eastAsia"/>
          <w:color w:val="auto"/>
          <w:sz w:val="24"/>
          <w:szCs w:val="24"/>
          <w:highlight w:val="auto"/>
        </w:rPr>
        <w:t>报价明细表</w:t>
      </w:r>
      <w:bookmarkEnd w:id="149"/>
      <w:bookmarkEnd w:id="150"/>
      <w:bookmarkEnd w:id="151"/>
      <w:bookmarkEnd w:id="152"/>
      <w:bookmarkEnd w:id="153"/>
      <w:bookmarkEnd w:id="154"/>
      <w:bookmarkEnd w:id="155"/>
      <w:bookmarkEnd w:id="156"/>
      <w:r>
        <w:rPr>
          <w:rFonts w:ascii="宋体" w:eastAsia="宋体" w:hint="eastAsia"/>
          <w:color w:val="auto"/>
          <w:sz w:val="24"/>
          <w:szCs w:val="24"/>
          <w:lang w:eastAsia="zh-CN"/>
          <w:highlight w:val="auto"/>
        </w:rPr>
        <w:t>（</w:t>
      </w:r>
      <w:r>
        <w:rPr>
          <w:rFonts w:ascii="宋体" w:eastAsia="宋体" w:hint="eastAsia"/>
          <w:color w:val="auto"/>
          <w:sz w:val="24"/>
          <w:szCs w:val="24"/>
          <w:lang w:val="en-US" w:eastAsia="zh-CN"/>
          <w:highlight w:val="auto"/>
        </w:rPr>
        <w:t>一台套设备填一张报价明细表</w:t>
      </w:r>
      <w:r>
        <w:rPr>
          <w:rFonts w:ascii="宋体" w:eastAsia="宋体" w:hint="eastAsia"/>
          <w:color w:val="auto"/>
          <w:sz w:val="24"/>
          <w:szCs w:val="24"/>
          <w:lang w:eastAsia="zh-CN"/>
          <w:highlight w:val="auto"/>
        </w:rPr>
        <w:t>）</w:t>
      </w:r>
    </w:p>
    <w:p>
      <w:pPr>
        <w:jc w:val="both"/>
        <w:rPr>
          <w:rFonts w:ascii="宋体" w:eastAsia="宋体"/>
          <w:b/>
          <w:color w:val="auto"/>
          <w:sz w:val="24"/>
          <w:lang w:val="en-US" w:eastAsia="zh-CN"/>
          <w:highlight w:val="auto"/>
        </w:rPr>
      </w:pPr>
      <w:r>
        <w:rPr>
          <w:rFonts w:ascii="宋体" w:eastAsia="宋体" w:cs="Times New Roman" w:hint="eastAsia"/>
          <w:snapToGrid w:val="0"/>
          <w:color w:val="auto"/>
          <w:kern w:val="0"/>
          <w:szCs w:val="21"/>
          <w:lang w:val="en-US" w:eastAsia="zh-CN"/>
          <w:highlight w:val="auto"/>
        </w:rPr>
        <w:t>设备名称：</w:t>
      </w:r>
      <w:r>
        <w:rPr>
          <w:rFonts w:ascii="宋体" w:hint="eastAsia"/>
          <w:b/>
          <w:color w:val="auto"/>
          <w:sz w:val="24"/>
          <w:lang w:val="en-US" w:eastAsia="zh-CN"/>
          <w:highlight w:val="auto"/>
        </w:rPr>
        <w:t xml:space="preserve">                  </w:t>
      </w:r>
    </w:p>
    <w:tbl>
      <w:tblPr>
        <w:jc w:val="cent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2"/>
        <w:gridCol w:w="1498"/>
        <w:gridCol w:w="961"/>
        <w:gridCol w:w="761"/>
        <w:gridCol w:w="1177"/>
        <w:gridCol w:w="970"/>
        <w:gridCol w:w="1119"/>
        <w:gridCol w:w="958"/>
        <w:gridCol w:w="911"/>
        <w:gridCol w:w="623"/>
      </w:tblGrid>
      <w:tr>
        <w:trPr>
          <w:trHeight w:val="77"/>
        </w:trPr>
        <w:tc>
          <w:tcPr>
            <w:tcW w:w="692" w:type="dxa"/>
            <w:shd w:val="clear" w:color="000000" w:fill="FFFFFF"/>
            <w:vAlign w:val="center"/>
          </w:tcPr>
          <w:p>
            <w:pPr>
              <w:spacing w:line="360" w:lineRule="auto"/>
              <w:rPr>
                <w:rFonts w:ascii="宋体" w:cs="宋体"/>
                <w:b/>
                <w:bCs/>
                <w:color w:val="auto"/>
                <w:kern w:val="0"/>
                <w:sz w:val="18"/>
                <w:szCs w:val="18"/>
                <w:highlight w:val="auto"/>
              </w:rPr>
            </w:pPr>
            <w:bookmarkEnd w:id="157"/>
            <w:r>
              <w:rPr>
                <w:rFonts w:ascii="宋体" w:cs="宋体" w:hint="eastAsia"/>
                <w:b/>
                <w:color w:val="auto"/>
                <w:spacing w:val="-6"/>
                <w:szCs w:val="21"/>
                <w:highlight w:val="auto"/>
              </w:rPr>
              <w:t>序号</w:t>
            </w:r>
          </w:p>
        </w:tc>
        <w:tc>
          <w:tcPr>
            <w:tcW w:w="1498" w:type="dxa"/>
            <w:shd w:val="clear" w:color="000000" w:fill="FFFFFF"/>
            <w:vAlign w:val="center"/>
          </w:tcPr>
          <w:p>
            <w:pPr>
              <w:spacing w:line="360" w:lineRule="auto"/>
              <w:rPr>
                <w:rFonts w:ascii="宋体" w:cs="宋体"/>
                <w:b/>
                <w:bCs/>
                <w:color w:val="auto"/>
                <w:kern w:val="0"/>
                <w:sz w:val="18"/>
                <w:szCs w:val="18"/>
                <w:highlight w:val="auto"/>
              </w:rPr>
            </w:pPr>
            <w:r>
              <w:rPr>
                <w:rFonts w:ascii="Times New Roman" w:hAnsi="Times New Roman"/>
                <w:color w:val="auto"/>
                <w:highlight w:val="auto"/>
              </w:rPr>
              <w:t>设备材料名称</w:t>
            </w:r>
          </w:p>
        </w:tc>
        <w:tc>
          <w:tcPr>
            <w:tcW w:w="961" w:type="dxa"/>
            <w:shd w:val="clear" w:color="000000" w:fill="FFFFFF"/>
            <w:vAlign w:val="center"/>
          </w:tcPr>
          <w:p>
            <w:pPr>
              <w:spacing w:line="360" w:lineRule="auto"/>
              <w:rPr>
                <w:rFonts w:ascii="宋体" w:eastAsia="宋体" w:cs="宋体"/>
                <w:b/>
                <w:bCs/>
                <w:color w:val="auto"/>
                <w:kern w:val="0"/>
                <w:sz w:val="18"/>
                <w:szCs w:val="18"/>
                <w:lang w:val="en-US" w:eastAsia="zh-CN"/>
                <w:highlight w:val="auto"/>
              </w:rPr>
            </w:pPr>
            <w:r>
              <w:rPr>
                <w:rFonts w:ascii="宋体" w:cs="宋体" w:hint="eastAsia"/>
                <w:b/>
                <w:color w:val="auto"/>
                <w:spacing w:val="-6"/>
                <w:szCs w:val="21"/>
                <w:highlight w:val="auto"/>
              </w:rPr>
              <w:t>数量</w:t>
            </w:r>
          </w:p>
        </w:tc>
        <w:tc>
          <w:tcPr>
            <w:tcW w:w="76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单位</w:t>
            </w:r>
          </w:p>
        </w:tc>
        <w:tc>
          <w:tcPr>
            <w:tcW w:w="1177"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品牌型号</w:t>
            </w:r>
          </w:p>
        </w:tc>
        <w:tc>
          <w:tcPr>
            <w:tcW w:w="970"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配置</w:t>
            </w:r>
          </w:p>
        </w:tc>
        <w:tc>
          <w:tcPr>
            <w:tcW w:w="1119"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产地</w:t>
            </w:r>
          </w:p>
        </w:tc>
        <w:tc>
          <w:tcPr>
            <w:tcW w:w="958"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单价</w:t>
            </w:r>
          </w:p>
        </w:tc>
        <w:tc>
          <w:tcPr>
            <w:tcW w:w="91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小计</w:t>
            </w:r>
          </w:p>
        </w:tc>
        <w:tc>
          <w:tcPr>
            <w:tcW w:w="623"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备注</w:t>
            </w: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1</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主机价格（主设备裸机）</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2</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主机外的辅助硬件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3</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备品备件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4</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耗材</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5</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运费</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6</w:t>
            </w:r>
          </w:p>
        </w:tc>
        <w:tc>
          <w:tcPr>
            <w:tcW w:w="1498" w:type="dxa"/>
            <w:shd w:val="clear" w:color="000000" w:fill="FFFFFF"/>
            <w:vAlign w:val="center"/>
          </w:tcPr>
          <w:p>
            <w:pPr>
              <w:widowControl/>
              <w:jc w:val="left"/>
              <w:rPr>
                <w:rFonts w:ascii="宋体" w:eastAsia="宋体" w:cs="宋体"/>
                <w:color w:val="auto"/>
                <w:kern w:val="0"/>
                <w:sz w:val="18"/>
                <w:szCs w:val="18"/>
                <w:lang w:val="en-US" w:eastAsia="zh-CN"/>
                <w:highlight w:val="auto"/>
              </w:rPr>
            </w:pPr>
            <w:r>
              <w:rPr>
                <w:rFonts w:ascii="宋体" w:cs="宋体" w:hint="eastAsia"/>
                <w:color w:val="auto"/>
                <w:kern w:val="0"/>
                <w:sz w:val="18"/>
                <w:szCs w:val="18"/>
                <w:lang w:val="en-US" w:eastAsia="zh-CN"/>
                <w:highlight w:val="auto"/>
              </w:rPr>
              <w:t>......</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cs="宋体"/>
                <w:color w:val="auto"/>
                <w:kern w:val="0"/>
                <w:sz w:val="18"/>
                <w:szCs w:val="18"/>
                <w:highlight w:val="auto"/>
              </w:rPr>
            </w:pP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合计</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bl>
    <w:p>
      <w:pPr>
        <w:adjustRightInd w:val="0"/>
        <w:snapToGrid w:val="0"/>
        <w:spacing w:line="360" w:lineRule="auto"/>
        <w:ind w:firstLineChars="200" w:firstLine="420"/>
        <w:jc w:val="right"/>
        <w:rPr>
          <w:rFonts w:ascii="宋体"/>
          <w:color w:val="auto"/>
          <w:szCs w:val="21"/>
          <w:highlight w:val="auto"/>
        </w:rPr>
      </w:pP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hint="eastAsia"/>
          <w:color w:val="auto"/>
          <w:szCs w:val="21"/>
          <w:highlight w:val="auto"/>
        </w:rPr>
        <w:t>注：</w:t>
      </w:r>
      <w:r>
        <w:rPr>
          <w:rFonts w:ascii="宋体" w:hint="eastAsia"/>
          <w:color w:val="auto"/>
          <w:szCs w:val="21"/>
          <w:lang w:val="en-US" w:eastAsia="zh-CN"/>
          <w:highlight w:val="auto"/>
        </w:rPr>
        <w:t>1.</w:t>
      </w:r>
      <w:r>
        <w:rPr>
          <w:rFonts w:ascii="宋体" w:hint="eastAsia"/>
          <w:color w:val="auto"/>
          <w:szCs w:val="21"/>
          <w:highlight w:val="auto"/>
        </w:rPr>
        <w:t>各</w:t>
      </w:r>
      <w:r>
        <w:rPr>
          <w:rFonts w:ascii="宋体" w:eastAsia="宋体" w:cs="Times New Roman" w:hint="eastAsia"/>
          <w:color w:val="auto"/>
          <w:szCs w:val="21"/>
          <w:highlight w:val="auto"/>
        </w:rPr>
        <w:t>供应商应根据报价内容对报价明细表进行充分分析报价，并提供相应的报价分析表，相应的报价表格应符合规范规定格式及填写规定。</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2.上表合计金额需与开标一览表中对应设备的小计金额一致。</w:t>
      </w: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eastAsia="宋体" w:cs="Times New Roman" w:hint="eastAsia"/>
          <w:color w:val="auto"/>
          <w:szCs w:val="21"/>
          <w:lang w:val="en-US" w:eastAsia="zh-CN"/>
          <w:highlight w:val="auto"/>
        </w:rPr>
        <w:t>3.投标报价</w:t>
      </w:r>
      <w:r>
        <w:rPr>
          <w:rFonts w:ascii="宋体" w:eastAsia="宋体" w:cs="Times New Roman" w:hint="eastAsia"/>
          <w:color w:val="auto"/>
          <w:szCs w:val="21"/>
          <w:highlight w:val="auto"/>
        </w:rPr>
        <w:t>应包含产品的</w:t>
      </w:r>
      <w:r>
        <w:rPr>
          <w:rFonts w:ascii="宋体" w:eastAsia="宋体" w:cs="Times New Roman" w:hint="eastAsia"/>
          <w:color w:val="auto"/>
          <w:szCs w:val="21"/>
          <w:lang w:eastAsia="zh-CN"/>
          <w:highlight w:val="auto"/>
        </w:rPr>
        <w:t>制造、材料费（主材及辅材）、运输、安装、验收、检测、保修（保修期内的售后服务）、税收、所有手续费等直至验收合格交付采购人使用的所有相关费用</w:t>
      </w:r>
      <w:r>
        <w:rPr>
          <w:rFonts w:ascii="宋体" w:eastAsia="宋体" w:cs="Times New Roman" w:hint="eastAsia"/>
          <w:color w:val="auto"/>
          <w:szCs w:val="21"/>
          <w:highlight w:val="auto"/>
        </w:rPr>
        <w:t>。</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4.</w:t>
      </w:r>
      <w:r>
        <w:rPr>
          <w:rFonts w:ascii="宋体" w:eastAsia="宋体" w:cs="Times New Roman" w:hint="eastAsia"/>
          <w:color w:val="auto"/>
          <w:szCs w:val="21"/>
          <w:highlight w:val="auto"/>
        </w:rPr>
        <w:t>表格可扩展</w:t>
      </w:r>
      <w:r>
        <w:rPr>
          <w:rFonts w:ascii="宋体" w:eastAsia="宋体" w:cs="Times New Roman" w:hint="eastAsia"/>
          <w:color w:val="auto"/>
          <w:szCs w:val="21"/>
          <w:lang w:eastAsia="zh-CN"/>
          <w:highlight w:val="auto"/>
        </w:rPr>
        <w:t>。</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adjustRightInd w:val="0"/>
        <w:snapToGrid w:val="0"/>
        <w:spacing w:line="360" w:lineRule="auto"/>
        <w:ind w:firstLineChars="1650" w:firstLine="3465"/>
        <w:rPr>
          <w:rFonts w:ascii="宋体"/>
          <w:b/>
          <w:color w:val="auto"/>
          <w:szCs w:val="21"/>
          <w:highlight w:val="auto"/>
        </w:r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r>
        <w:rPr>
          <w:rFonts w:ascii="宋体"/>
          <w:color w:val="auto"/>
          <w:sz w:val="24"/>
          <w:highlight w:val="auto"/>
        </w:rPr>
        <w:br w:type="page"/>
      </w:r>
      <w:bookmarkStart w:id="158" w:name="_Toc226969370"/>
      <w:bookmarkStart w:id="159" w:name="_Toc227057976"/>
      <w:bookmarkStart w:id="160" w:name="_Toc368993680"/>
      <w:bookmarkStart w:id="161" w:name="_Toc371002612"/>
      <w:bookmarkEnd w:id="138"/>
      <w:r>
        <w:rPr>
          <w:rFonts w:ascii="宋体"/>
          <w:color w:val="auto"/>
          <w:sz w:val="24"/>
          <w:highlight w:val="auto"/>
        </w:rPr>
        <w:t>6.</w:t>
      </w:r>
      <w:bookmarkEnd w:id="158"/>
      <w:bookmarkEnd w:id="159"/>
      <w:bookmarkEnd w:id="160"/>
      <w:bookmarkEnd w:id="161"/>
      <w:r>
        <w:rPr>
          <w:rFonts w:ascii="宋体" w:hint="eastAsia"/>
          <w:color w:val="auto"/>
          <w:sz w:val="24"/>
          <w:lang w:val="en-US" w:eastAsia="zh-CN"/>
          <w:highlight w:val="auto"/>
        </w:rPr>
        <w:t>17</w:t>
      </w:r>
      <w:r>
        <w:rPr>
          <w:rFonts w:ascii="宋体" w:hint="eastAsia"/>
          <w:b/>
          <w:color w:val="auto"/>
          <w:szCs w:val="21"/>
          <w:highlight w:val="auto"/>
        </w:rPr>
        <w:t>中标服务费支付承诺书</w:t>
      </w:r>
    </w:p>
    <w:p>
      <w:pPr>
        <w:rPr>
          <w:color w:val="auto"/>
          <w:highlight w:val="auto"/>
        </w:rPr>
      </w:pPr>
    </w:p>
    <w:p>
      <w:pPr>
        <w:rPr>
          <w:color w:val="auto"/>
          <w:szCs w:val="21"/>
          <w:highlight w:val="auto"/>
        </w:rPr>
      </w:pPr>
    </w:p>
    <w:p>
      <w:pPr>
        <w:rPr>
          <w:color w:val="auto"/>
          <w:szCs w:val="21"/>
          <w:highlight w:val="auto"/>
        </w:rPr>
      </w:pPr>
    </w:p>
    <w:p>
      <w:pPr>
        <w:jc w:val="center"/>
        <w:rPr>
          <w:b/>
          <w:color w:val="auto"/>
          <w:szCs w:val="21"/>
          <w:highlight w:val="auto"/>
        </w:rPr>
      </w:pPr>
      <w:r>
        <w:rPr>
          <w:rFonts w:hint="eastAsia"/>
          <w:b/>
          <w:color w:val="auto"/>
          <w:szCs w:val="21"/>
          <w:highlight w:val="auto"/>
        </w:rPr>
        <w:t>中标服务费支付承诺书</w:t>
      </w:r>
    </w:p>
    <w:p>
      <w:pPr>
        <w:spacing w:line="600" w:lineRule="auto"/>
        <w:jc w:val="center"/>
        <w:rPr>
          <w:b/>
          <w:color w:val="auto"/>
          <w:szCs w:val="21"/>
          <w:highlight w:val="auto"/>
        </w:rPr>
      </w:pPr>
    </w:p>
    <w:p>
      <w:pPr>
        <w:pStyle w:val="2"/>
        <w:numPr>
          <w:ilvl w:val="0"/>
          <w:numId w:val="0"/>
        </w:numPr>
        <w:tabs>
          <w:tab w:val="clear" w:pos="425"/>
        </w:tabs>
        <w:spacing w:line="360" w:lineRule="auto"/>
        <w:rPr>
          <w:rFonts w:ascii="宋体" w:eastAsia="宋体"/>
          <w:b w:val="0"/>
          <w:color w:val="auto"/>
          <w:sz w:val="21"/>
          <w:szCs w:val="21"/>
          <w:u w:val="single"/>
          <w:highlight w:val="auto"/>
        </w:rPr>
      </w:pPr>
      <w:bookmarkStart w:id="162" w:name="_Toc80791182"/>
      <w:bookmarkStart w:id="163" w:name="_Toc5049"/>
      <w:bookmarkStart w:id="164" w:name="_Toc37770057"/>
      <w:bookmarkStart w:id="165" w:name="_Toc60757557"/>
      <w:r>
        <w:rPr>
          <w:rFonts w:ascii="宋体" w:eastAsia="宋体" w:hint="eastAsia"/>
          <w:b w:val="0"/>
          <w:color w:val="auto"/>
          <w:sz w:val="21"/>
          <w:szCs w:val="21"/>
          <w:u w:val="single"/>
          <w:highlight w:val="auto"/>
        </w:rPr>
        <w:t>大地工程咨询有限公司：</w:t>
      </w:r>
      <w:bookmarkEnd w:id="162"/>
      <w:bookmarkEnd w:id="163"/>
      <w:bookmarkEnd w:id="164"/>
      <w:bookmarkEnd w:id="165"/>
    </w:p>
    <w:p>
      <w:pPr>
        <w:pStyle w:val="2"/>
        <w:numPr>
          <w:ilvl w:val="0"/>
          <w:numId w:val="0"/>
        </w:numPr>
        <w:tabs>
          <w:tab w:val="clear" w:pos="425"/>
        </w:tabs>
        <w:spacing w:line="360" w:lineRule="auto"/>
        <w:ind w:left="0" w:firstLineChars="100" w:firstLine="210"/>
        <w:rPr>
          <w:rFonts w:ascii="宋体" w:eastAsia="宋体"/>
          <w:b w:val="0"/>
          <w:color w:val="auto"/>
          <w:sz w:val="21"/>
          <w:szCs w:val="21"/>
          <w:highlight w:val="auto"/>
        </w:rPr>
      </w:pPr>
      <w:bookmarkStart w:id="166" w:name="_Toc37770058"/>
      <w:bookmarkStart w:id="167" w:name="_Toc80791183"/>
      <w:bookmarkStart w:id="168" w:name="_Toc60757558"/>
      <w:bookmarkStart w:id="169" w:name="_Toc5875"/>
      <w:r>
        <w:rPr>
          <w:rFonts w:ascii="宋体" w:eastAsia="宋体" w:hint="eastAsia"/>
          <w:b w:val="0"/>
          <w:color w:val="auto"/>
          <w:sz w:val="21"/>
          <w:szCs w:val="21"/>
          <w:highlight w:val="auto"/>
        </w:rPr>
        <w:t>本单位在此承诺：如在本项目中标，在领取中标通知书之后5个工作日内，向贵公司按采购文件约定支付中标服务费。</w:t>
      </w:r>
      <w:bookmarkEnd w:id="166"/>
      <w:r>
        <w:rPr>
          <w:rFonts w:ascii="宋体" w:eastAsia="宋体" w:hint="eastAsia"/>
          <w:b w:val="0"/>
          <w:color w:val="auto"/>
          <w:sz w:val="21"/>
          <w:szCs w:val="21"/>
          <w:highlight w:val="auto"/>
        </w:rPr>
        <w:t>如逾期支付代理服务费，须承担代理服务费每日百分之三的违约金，逾期十日未支付的，采购代理机构有权向嘉兴仲裁委员会对中标供应商提起仲裁，仲裁费用（包括仲裁受理费和仲裁处理费）均由我单位承担。</w:t>
      </w:r>
      <w:bookmarkEnd w:id="167"/>
      <w:bookmarkEnd w:id="168"/>
      <w:bookmarkEnd w:id="169"/>
    </w:p>
    <w:p>
      <w:pPr>
        <w:rPr>
          <w:rFonts w:ascii="宋体"/>
          <w:color w:val="auto"/>
          <w:szCs w:val="21"/>
          <w:highlight w:val="auto"/>
        </w:rPr>
      </w:pPr>
    </w:p>
    <w:p>
      <w:pPr>
        <w:rPr>
          <w:rFonts w:ascii="宋体"/>
          <w:color w:val="auto"/>
          <w:szCs w:val="21"/>
          <w:highlight w:val="auto"/>
        </w:rPr>
      </w:pPr>
    </w:p>
    <w:p>
      <w:pPr>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lang w:val="en-US" w:eastAsia="zh-CN"/>
          <w:highlight w:val="auto"/>
        </w:rPr>
        <w:t>投标人</w:t>
      </w:r>
      <w:r>
        <w:rPr>
          <w:rFonts w:ascii="宋体" w:hint="eastAsia"/>
          <w:color w:val="auto"/>
          <w:szCs w:val="21"/>
          <w:highlight w:val="auto"/>
        </w:rPr>
        <w:t>全称（盖单位公章）：</w:t>
      </w:r>
    </w:p>
    <w:p>
      <w:pPr>
        <w:snapToGrid w:val="0"/>
        <w:spacing w:line="300" w:lineRule="auto"/>
        <w:jc w:val="right"/>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highlight w:val="auto"/>
        </w:rPr>
        <w:t>投标文件签署人（签字或盖章）：</w:t>
      </w:r>
    </w:p>
    <w:p>
      <w:pPr>
        <w:ind w:right="375"/>
        <w:jc w:val="right"/>
        <w:rPr>
          <w:rFonts w:ascii="宋体"/>
          <w:color w:val="auto"/>
          <w:spacing w:val="20"/>
          <w:szCs w:val="21"/>
          <w:highlight w:val="auto"/>
        </w:rPr>
      </w:pPr>
    </w:p>
    <w:p>
      <w:pPr>
        <w:ind w:right="375"/>
        <w:jc w:val="right"/>
        <w:rPr>
          <w:rFonts w:ascii="宋体"/>
          <w:color w:val="auto"/>
          <w:szCs w:val="21"/>
          <w:highlight w:val="auto"/>
        </w:rPr>
      </w:pPr>
      <w:r>
        <w:rPr>
          <w:rFonts w:ascii="宋体" w:hint="eastAsia"/>
          <w:color w:val="auto"/>
          <w:spacing w:val="20"/>
          <w:szCs w:val="21"/>
          <w:highlight w:val="auto"/>
        </w:rPr>
        <w:t>日期：</w:t>
      </w:r>
      <w:r>
        <w:rPr>
          <w:rFonts w:ascii="宋体"/>
          <w:color w:val="auto"/>
          <w:spacing w:val="20"/>
          <w:szCs w:val="21"/>
          <w:highlight w:val="auto"/>
        </w:rPr>
        <w:t xml:space="preserve">  </w:t>
      </w:r>
      <w:r>
        <w:rPr>
          <w:rFonts w:ascii="宋体" w:hint="eastAsia"/>
          <w:color w:val="auto"/>
          <w:szCs w:val="21"/>
          <w:highlight w:val="auto"/>
        </w:rPr>
        <w:t>年</w:t>
      </w:r>
      <w:r>
        <w:rPr>
          <w:rFonts w:ascii="宋体"/>
          <w:color w:val="auto"/>
          <w:szCs w:val="21"/>
          <w:highlight w:val="auto"/>
        </w:rPr>
        <w:t xml:space="preserve">  </w:t>
      </w:r>
      <w:r>
        <w:rPr>
          <w:rFonts w:ascii="宋体" w:hint="eastAsia"/>
          <w:color w:val="auto"/>
          <w:szCs w:val="21"/>
          <w:highlight w:val="auto"/>
        </w:rPr>
        <w:t>月</w:t>
      </w:r>
      <w:r>
        <w:rPr>
          <w:rFonts w:ascii="宋体"/>
          <w:color w:val="auto"/>
          <w:szCs w:val="21"/>
          <w:highlight w:val="auto"/>
        </w:rPr>
        <w:t xml:space="preserve">  </w:t>
      </w:r>
      <w:r>
        <w:rPr>
          <w:rFonts w:ascii="宋体" w:hint="eastAsia"/>
          <w:color w:val="auto"/>
          <w:szCs w:val="21"/>
          <w:highlight w:val="auto"/>
        </w:rPr>
        <w:t>日</w:t>
      </w:r>
    </w:p>
    <w:p>
      <w:pPr>
        <w:ind w:right="480"/>
        <w:rPr>
          <w:rFonts w:ascii="宋体"/>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名称：大地工程咨询有限公司嘉兴分公司</w:t>
      </w: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开户行及账号：浙江禾城农村商业银行股份有限公司南湖支行, 201000264569242</w:t>
      </w:r>
    </w:p>
    <w:p>
      <w:pPr>
        <w:rPr>
          <w:color w:val="auto"/>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B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楷体">
    <w:panose1 w:val="02010609060101010101"/>
    <w:charset w:val="86"/>
    <w:family w:val="modern"/>
    <w:pitch w:val="variable"/>
    <w:sig w:usb0="800002BF" w:usb1="38CF7CFA" w:usb2="00000016" w:usb3="00000000" w:csb0="00040001" w:csb1="00000000"/>
  </w:font>
  <w:font w:name="Courier New">
    <w:panose1 w:val="02070309020205020404"/>
    <w:charset w:val="01"/>
    <w:family w:val="modern"/>
    <w:pitch w:val="variable"/>
    <w:sig w:usb0="E0002EFF" w:usb1="C0007843"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 w:name="楷体_GB2312">
    <w:altName w:val="楷体"/>
    <w:panose1 w:val="00000000000000000000"/>
    <w:charset w:val="86"/>
    <w:family w:val="modern"/>
    <w:pitch w:val="variable"/>
    <w:sig w:usb0="00000000" w:usb1="00000000" w:usb2="00000010" w:usb3="00000000" w:csb0="00040000" w:csb1="00000000"/>
  </w:font>
  <w:font w:name="Wingdings">
    <w:panose1 w:val="05000000000000000000"/>
    <w:charset w:val="02"/>
    <w:family w:val="auto"/>
    <w:pitch w:val="variable"/>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微软雅黑">
    <w:panose1 w:val="020B0503020204020204"/>
    <w:charset w:val="86"/>
    <w:family w:val="auto"/>
    <w:pitch w:val="variable"/>
    <w:sig w:usb0="80000287" w:usb1="2ACF3C50" w:usb2="00000016" w:usb3="00000000" w:csb0="0004001F" w:csb1="0000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 w:name="Century Gothic">
    <w:panose1 w:val="020B0502020202020204"/>
    <w:charset w:val="00"/>
    <w:family w:val="swiss"/>
    <w:pitch w:val="variable"/>
    <w:sig w:usb0="00000287" w:usb1="00000000" w:usb2="00000000" w:usb3="00000000" w:csb0="2000009F" w:csb1="DFD70000"/>
  </w:font>
  <w:font w:name="Cambria">
    <w:panose1 w:val="02040503050406030204"/>
    <w:charset w:val="00"/>
    <w:family w:val="roman"/>
    <w:pitch w:val="variable"/>
    <w:sig w:usb0="E00006FF" w:usb1="420024FF" w:usb2="02000000" w:usb3="00000000" w:csb0="2000019F" w:csb1="00000000"/>
  </w:font>
  <w:font w:name="Tahoma">
    <w:panose1 w:val="020B0604030504040204"/>
    <w:charset w:val="00"/>
    <w:family w:val="swiss"/>
    <w:pitch w:val="variable"/>
    <w:sig w:usb0="E1002EFF" w:usb1="C000605B" w:usb2="00000029" w:usb3="00000000" w:csb0="200101FF" w:csb1="20280000"/>
  </w:font>
  <w:font w:name="Wingdings 2">
    <w:panose1 w:val="05020102010507070707"/>
    <w:charset w:val="02"/>
    <w:family w:val="roman"/>
    <w:pitch w:val="variable"/>
    <w:sig w:usb0="00000000" w:usb1="00000000" w:usb2="00000000" w:usb3="00000000" w:csb0="80000000" w:csb1="00000000"/>
  </w:font>
  <w:font w:name="Arial Narrow">
    <w:panose1 w:val="020B0606020202030204"/>
    <w:charset w:val="00"/>
    <w:family w:val="swiss"/>
    <w:pitch w:val="variable"/>
    <w:sig w:usb0="00000287" w:usb1="00000800" w:usb2="00000000" w:usb3="00000000" w:csb0="2000009F" w:csb1="DFD70000"/>
  </w:font>
  <w:font w:name="Mincho">
    <w:altName w:val="Yu Gothic UI"/>
    <w:panose1 w:val="02020609040305080305"/>
    <w:charset w:val="80"/>
    <w:family w:val="roman"/>
    <w:pitch w:val="variable"/>
    <w:sig w:usb0="00000000" w:usb1="00000000" w:usb2="00000010" w:usb3="00000000" w:csb0="0002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jc w:val="right"/>
    </w:pPr>
    <w:r>
      <w:rPr>
        <w:sz w:val="18"/>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50" cy="131559"/>
                      </a:xfrm>
                      <a:prstGeom prst="rect"/>
                      <a:noFill/>
                      <a:ln w="6350" cmpd="sng" cap="flat">
                        <a:noFill/>
                        <a:prstDash val="solid"/>
                        <a:round/>
                      </a:ln>
                    </wps:spPr>
                    <wps:txbx id="2">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5pt;height:10.359pt;z-index:2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v:textbox>
            </v:shape>
          </w:pict>
        </mc:Fallback>
      </mc:AlternateContent>
    </w:r>
  </w:p>
  <w:p>
    <w:pPr>
      <w:pStyle w:val="33"/>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4" name="文本框 91"/>
              <wp:cNvGraphicFramePr>
                <a:graphicFrameLocks noChangeAspect="0"/>
              </wp:cNvGraphicFramePr>
              <a:graphic>
                <a:graphicData uri="http://schemas.microsoft.com/office/word/2010/wordprocessingShape">
                  <wps:wsp>
                    <wps:cNvSpPr/>
                    <wps:spPr>
                      <a:xfrm rot="0">
                        <a:off x="0" y="0"/>
                        <a:ext cx="57150" cy="131559"/>
                      </a:xfrm>
                      <a:prstGeom prst="rect"/>
                      <a:noFill/>
                      <a:ln w="6350" cmpd="sng" cap="flat">
                        <a:noFill/>
                        <a:prstDash val="solid"/>
                        <a:round/>
                      </a:ln>
                    </wps:spPr>
                    <wps:txbx id="5">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wps:txbx>
                    <wps:bodyPr vert="horz" wrap="none" lIns="0" tIns="0" rIns="0" bIns="0" anchor="t" anchorCtr="0" upright="0">
                      <a:spAutoFit/>
                    </wps:bodyPr>
                  </wps:wsp>
                </a:graphicData>
              </a:graphic>
            </wp:anchor>
          </w:drawing>
        </mc:Choice>
        <mc:Fallback>
          <w:pict>
            <v:shape type="#_x0000_t202" id="文本框 91 6" o:spid="_x0000_s6" filled="f" stroked="f" strokeweight="0.5pt" style="position:absolute;margin-left:0.0pt;margin-top:0.0pt;width:4.5pt;height:10.359035pt;z-index:18;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7" name="文本框 3"/>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8">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wps:txbx>
                    <wps:bodyPr vert="horz" wrap="none" lIns="0" tIns="0" rIns="0" bIns="0" anchor="t" anchorCtr="0" upright="0">
                      <a:spAutoFit/>
                    </wps:bodyPr>
                  </wps:wsp>
                </a:graphicData>
              </a:graphic>
            </wp:anchor>
          </w:drawing>
        </mc:Choice>
        <mc:Fallback>
          <w:pict>
            <v:shape type="#_x0000_t202" id="文本框 3 9" o:spid="_x0000_s9" filled="f" stroked="f" strokeweight="0.5pt" style="position:absolute;margin-left:0.0pt;margin-top:0.0pt;width:9.0pt;height:10.359pt;z-index:21;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33350" cy="172688"/>
              <wp:effectExtent l="0" t="0" r="0" b="0"/>
              <wp:wrapNone/>
              <wp:docPr id="10" name="文本框 4"/>
              <wp:cNvGraphicFramePr>
                <a:graphicFrameLocks noChangeAspect="0"/>
              </wp:cNvGraphicFramePr>
              <a:graphic>
                <a:graphicData uri="http://schemas.microsoft.com/office/word/2010/wordprocessingShape">
                  <wps:wsp>
                    <wps:cNvSpPr/>
                    <wps:spPr>
                      <a:xfrm rot="0">
                        <a:off x="0" y="0"/>
                        <a:ext cx="133350" cy="172688"/>
                      </a:xfrm>
                      <a:prstGeom prst="rect"/>
                      <a:noFill/>
                      <a:ln w="6350" cmpd="sng" cap="flat">
                        <a:noFill/>
                        <a:prstDash val="solid"/>
                        <a:round/>
                      </a:ln>
                    </wps:spPr>
                    <wps:txbx id="11">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wps:txbx>
                    <wps:bodyPr vert="horz" wrap="none" lIns="0" tIns="0" rIns="0" bIns="0" anchor="t" anchorCtr="0" upright="0">
                      <a:spAutoFit/>
                    </wps:bodyPr>
                  </wps:wsp>
                </a:graphicData>
              </a:graphic>
            </wp:anchor>
          </w:drawing>
        </mc:Choice>
        <mc:Fallback>
          <w:pict>
            <v:shape type="#_x0000_t202" id="文本框 4 12" o:spid="_x0000_s12" filled="f" stroked="f" strokeweight="0.5pt" style="position:absolute;margin-left:0.0pt;margin-top:0.0pt;width:10.5pt;height:13.597503pt;z-index:22;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1</w:t>
    </w:r>
    <w:r>
      <w:rPr>
        <w:rStyle w:val="49"/>
      </w:rPr>
      <w:fldChar w:fldCharType="end"/>
    </w:r>
  </w:p>
  <w:p>
    <w:pPr>
      <w:pStyle w:val="33"/>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3"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3" name="文本框 5"/>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14">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5 15" o:spid="_x0000_s15" filled="f" stroked="f" strokeweight="0.5pt" style="position:absolute;margin-left:0.0pt;margin-top:0.0pt;width:9.0pt;height:10.359pt;z-index:23;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fldChar w:fldCharType="end"/>
    </w:r>
  </w:p>
  <w:p>
    <w:pPr>
      <w:pStyle w:val="33"/>
      <w:tabs>
        <w:tab w:val="center" w:pos="4153"/>
        <w:tab w:val="right" w:pos="8306"/>
      </w:tabs>
    </w:pP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5"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6" name="文本框 9"/>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17">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9 18" o:spid="_x0000_s18" filled="f" stroked="f" strokeweight="0.5pt" style="position:absolute;margin-left:0.0pt;margin-top:0.0pt;width:9.0pt;height:10.359pt;z-index:25;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4"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9" name="文本框 6"/>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20">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wps:txbx>
                    <wps:bodyPr vert="horz" wrap="none" lIns="0" tIns="0" rIns="0" bIns="0" anchor="t" anchorCtr="0" upright="0">
                      <a:spAutoFit/>
                    </wps:bodyPr>
                  </wps:wsp>
                </a:graphicData>
              </a:graphic>
            </wp:anchor>
          </w:drawing>
        </mc:Choice>
        <mc:Fallback>
          <w:pict>
            <v:shape type="#_x0000_t202" id="文本框 6 21" o:spid="_x0000_s21" filled="f" stroked="f" strokeweight="0.5pt" style="position:absolute;margin-left:0.0pt;margin-top:0.0pt;width:9.0pt;height:10.359pt;z-index:24;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22" name="文本框 2"/>
              <wp:cNvGraphicFramePr>
                <a:graphicFrameLocks noChangeAspect="0"/>
              </wp:cNvGraphicFramePr>
              <a:graphic>
                <a:graphicData uri="http://schemas.microsoft.com/office/word/2010/wordprocessingShape">
                  <wps:wsp>
                    <wps:cNvSpPr/>
                    <wps:spPr>
                      <a:xfrm rot="0">
                        <a:off x="0" y="0"/>
                        <a:ext cx="57150" cy="131559"/>
                      </a:xfrm>
                      <a:prstGeom prst="rect"/>
                      <a:noFill/>
                      <a:ln w="9525" cmpd="sng" cap="flat">
                        <a:noFill/>
                        <a:prstDash val="solid"/>
                        <a:round/>
                      </a:ln>
                    </wps:spPr>
                    <wps:txbx id="23">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2 24" o:spid="_x0000_s24" filled="f" stroked="f" style="position:absolute;margin-left:0.0pt;margin-top:0.0pt;width:4.5pt;height:10.359pt;z-index:19;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6"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25" name="文本框 8"/>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26">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8 27" o:spid="_x0000_s27" filled="f" stroked="f" strokeweight="0.5pt" style="position:absolute;margin-left:0.0pt;margin-top:0.0pt;width:9.0pt;height:10.359pt;z-index:26;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jc w:val="right"/>
      <w:rPr>
        <w:rFonts w:ascii="微软雅黑" w:eastAsia="微软雅黑"/>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E21F203"/>
    <w:multiLevelType w:val="multilevel"/>
    <w:tmpl w:val="EE21F203"/>
    <w:lvl w:ilvl="0">
      <w:start w:val="1"/>
      <w:numFmt w:val="decimal"/>
      <w:lvlRestart w:val="0"/>
      <w:lvlText w:val="（%1）"/>
      <w:lvlJc w:val="left"/>
      <w:pPr>
        <w:ind w:left="926" w:hanging="500"/>
      </w:pPr>
      <w:rPr>
        <w:rFonts w:cs="Times New Roman" w:hint="eastAsia"/>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F1D14BBD"/>
    <w:multiLevelType w:val="multilevel"/>
    <w:tmpl w:val="F1D14BBD"/>
    <w:lvl w:ilvl="0">
      <w:start w:val="1"/>
      <w:numFmt w:val="decimal"/>
      <w:lvlRestart w:val="0"/>
      <w:lvlText w:val="（%1）"/>
      <w:lvlJc w:val="left"/>
      <w:pPr>
        <w:ind w:left="1142" w:hanging="720"/>
      </w:pPr>
      <w:rPr>
        <w:rFonts w:cs="Times New Roman" w:hint="default"/>
      </w:rPr>
    </w:lvl>
    <w:lvl w:ilvl="1">
      <w:start w:val="1"/>
      <w:numFmt w:val="lowerLetter"/>
      <w:lvlText w:val="%2)"/>
      <w:lvlJc w:val="left"/>
      <w:pPr>
        <w:ind w:left="1262" w:hanging="420"/>
      </w:pPr>
      <w:rPr>
        <w:rFonts w:cs="Times New Roman"/>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2">
    <w:nsid w:val="0AB90C6B"/>
    <w:multiLevelType w:val="multilevel"/>
    <w:tmpl w:val="0AB90C6B"/>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3">
    <w:nsid w:val="9443C1F7"/>
    <w:multiLevelType w:val="multilevel"/>
    <w:tmpl w:val="9443C1F7"/>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4">
    <w:nsid w:val="82D79651"/>
    <w:multiLevelType w:val="singleLevel"/>
    <w:tmpl w:val="82D79651"/>
    <w:lvl w:ilvl="0">
      <w:start w:val="1"/>
      <w:numFmt w:val="chineseCounting"/>
      <w:lvlRestart w:val="0"/>
      <w:suff w:val="space"/>
      <w:lvlText w:val="第%1条"/>
      <w:lvlJc w:val="left"/>
      <w:pPr>
        <w:ind w:left="0" w:hanging="0"/>
      </w:pPr>
      <w:rPr>
        <w:rFonts w:hint="eastAsia"/>
        <w:b/>
        <w:bCs/>
      </w:rPr>
    </w:lvl>
  </w:abstractNum>
  <w:abstractNum w:abstractNumId="5">
    <w:nsid w:val="2DE7083A"/>
    <w:multiLevelType w:val="singleLevel"/>
    <w:tmpl w:val="2DE7083A"/>
    <w:lvl w:ilvl="0">
      <w:start w:val="1"/>
      <w:numFmt w:val="decimal"/>
      <w:lvlRestart w:val="0"/>
      <w:lvlText w:val="(%1)"/>
      <w:lvlJc w:val="left"/>
      <w:pPr>
        <w:ind w:left="845" w:hanging="425"/>
      </w:pPr>
      <w:rPr>
        <w:rFonts w:hint="default"/>
      </w:rPr>
    </w:lvl>
  </w:abstractNum>
  <w:abstractNum w:abstractNumId="6">
    <w:nsid w:val="F9FDAF46"/>
    <w:multiLevelType w:val="singleLevel"/>
    <w:tmpl w:val="F9FDAF46"/>
    <w:lvl w:ilvl="0">
      <w:start w:val="5"/>
      <w:numFmt w:val="decimal"/>
      <w:lvlRestart w:val="0"/>
      <w:suff w:val="nothing"/>
      <w:lvlText w:val="%1．"/>
      <w:lvlJc w:val="left"/>
      <w:pPr>
        <w:ind w:left="0" w:hanging="0"/>
      </w:pPr>
    </w:lvl>
  </w:abstractNum>
  <w:abstractNum w:abstractNumId="7">
    <w:nsid w:val="1AD1A6CB"/>
    <w:multiLevelType w:val="singleLevel"/>
    <w:tmpl w:val="1AD1A6CB"/>
    <w:lvl w:ilvl="0">
      <w:start w:val="2"/>
      <w:numFmt w:val="decimal"/>
      <w:lvlRestart w:val="0"/>
      <w:lvlText w:val="(%1)"/>
      <w:lvlJc w:val="left"/>
      <w:pPr>
        <w:ind w:left="0" w:hanging="0"/>
      </w:pPr>
    </w:lvl>
  </w:abstractNum>
  <w:abstractNum w:abstractNumId="8">
    <w:nsid w:val="459A6135"/>
    <w:multiLevelType w:val="multilevel"/>
    <w:tmpl w:val="459A6135"/>
    <w:lvl w:ilvl="0">
      <w:start w:val="1"/>
      <w:numFmt w:val="decimal"/>
      <w:lvlRestart w:val="0"/>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nsid w:val="498FA3B3"/>
    <w:multiLevelType w:val="singleLevel"/>
    <w:tmpl w:val="498FA3B3"/>
    <w:lvl w:ilvl="0">
      <w:start w:val="2"/>
      <w:numFmt w:val="decimal"/>
      <w:lvlRestart w:val="0"/>
      <w:suff w:val="nothing"/>
      <w:lvlText w:val="%1、"/>
      <w:lvlJc w:val="left"/>
      <w:pPr>
        <w:ind w:left="0" w:hanging="0"/>
      </w:pPr>
    </w:lvl>
  </w:abstractNum>
  <w:abstractNum w:abstractNumId="10">
    <w:nsid w:val="F43A9FF9"/>
    <w:multiLevelType w:val="multilevel"/>
    <w:tmpl w:val="48256DCD"/>
    <w:lvl w:ilvl="0">
      <w:start w:val="1"/>
      <w:numFmt w:val="chineseCountingThousand"/>
      <w:lvlRestart w:val="0"/>
      <w:pStyle w:val="1"/>
      <w:lvlText w:val="第%1章"/>
      <w:lvlJc w:val="left"/>
      <w:pPr>
        <w:ind w:left="425" w:hanging="425"/>
      </w:pPr>
      <w:rPr>
        <w:rFonts w:eastAsia="宋体" w:cs="Times New Roman" w:hint="eastAsia"/>
        <w:b/>
        <w:i w:val="0"/>
        <w:sz w:val="32"/>
        <w:szCs w:val="32"/>
      </w:rPr>
    </w:lvl>
    <w:lvl w:ilvl="1">
      <w:start w:val="1"/>
      <w:numFmt w:val="decimal"/>
      <w:pStyle w:val="2"/>
      <w:isLgl/>
      <w:lvlText w:val="%1.%2"/>
      <w:lvlJc w:val="left"/>
      <w:pPr>
        <w:ind w:left="567" w:hanging="567"/>
      </w:pPr>
      <w:rPr>
        <w:rFonts w:ascii="Times New Roman" w:hAnsi="Times New Roman" w:cs="Times New Roman" w:hint="default"/>
        <w:b/>
        <w:i w:val="0"/>
        <w:sz w:val="30"/>
        <w:szCs w:val="30"/>
      </w:rPr>
    </w:lvl>
    <w:lvl w:ilvl="2">
      <w:start w:val="1"/>
      <w:numFmt w:val="decimal"/>
      <w:pStyle w:val="3"/>
      <w:isLgl/>
      <w:lvlText w:val="%1.%2.%3"/>
      <w:lvlJc w:val="left"/>
      <w:pPr>
        <w:ind w:left="709" w:hanging="709"/>
      </w:pPr>
      <w:rPr>
        <w:rFonts w:ascii="Times New Roman" w:hAnsi="Times New Roman" w:cs="Times New Roman" w:hint="default"/>
        <w:b/>
        <w:i w:val="0"/>
        <w:sz w:val="28"/>
        <w:szCs w:val="28"/>
      </w:rPr>
    </w:lvl>
    <w:lvl w:ilvl="3">
      <w:start w:val="1"/>
      <w:numFmt w:val="decimal"/>
      <w:pStyle w:val="4"/>
      <w:isLgl/>
      <w:lvlText w:val="%1.%2.%3.%4"/>
      <w:lvlJc w:val="left"/>
      <w:pPr>
        <w:ind w:left="851" w:hanging="851"/>
      </w:pPr>
      <w:rPr>
        <w:rFonts w:ascii="Times New Roman" w:hAnsi="Times New Roman" w:cs="Times New Roman" w:hint="default"/>
        <w:sz w:val="24"/>
        <w:szCs w:val="24"/>
      </w:rPr>
    </w:lvl>
    <w:lvl w:ilvl="4">
      <w:start w:val="1"/>
      <w:numFmt w:val="decimal"/>
      <w:pStyle w:val="5"/>
      <w:isLgl/>
      <w:lvlText w:val="%1.%2.%3.%4.%5"/>
      <w:lvlJc w:val="left"/>
      <w:pPr>
        <w:ind w:left="992" w:hanging="992"/>
      </w:pPr>
      <w:rPr>
        <w:rFonts w:ascii="Times New Roman" w:hAnsi="Times New Roman" w:cs="Times New Roman" w:hint="default"/>
      </w:rPr>
    </w:lvl>
    <w:lvl w:ilvl="5">
      <w:start w:val="1"/>
      <w:numFmt w:val="decimal"/>
      <w:pStyle w:val="6"/>
      <w:isLgl/>
      <w:lvlText w:val="%1.%2.%3.%4.%5.%6"/>
      <w:lvlJc w:val="left"/>
      <w:pPr>
        <w:ind w:left="1134" w:hanging="1134"/>
      </w:pPr>
      <w:rPr>
        <w:rFonts w:cs="Times New Roman" w:hint="eastAsia"/>
      </w:rPr>
    </w:lvl>
    <w:lvl w:ilvl="6">
      <w:start w:val="1"/>
      <w:numFmt w:val="decimal"/>
      <w:pStyle w:val="7"/>
      <w:isLgl/>
      <w:lvlText w:val="%1.%2.%3.%4.%5.%6.%7"/>
      <w:lvlJc w:val="left"/>
      <w:pPr>
        <w:ind w:left="1276" w:hanging="1276"/>
      </w:pPr>
      <w:rPr>
        <w:rFonts w:cs="Times New Roman" w:hint="eastAsia"/>
      </w:rPr>
    </w:lvl>
    <w:lvl w:ilvl="7">
      <w:start w:val="1"/>
      <w:numFmt w:val="decimal"/>
      <w:pStyle w:val="8"/>
      <w:isLgl/>
      <w:lvlText w:val="%1.%2.%3.%4.%5.%6.%7.%8"/>
      <w:lvlJc w:val="left"/>
      <w:pPr>
        <w:ind w:left="1418" w:hanging="1418"/>
      </w:pPr>
      <w:rPr>
        <w:rFonts w:cs="Times New Roman" w:hint="eastAsia"/>
      </w:rPr>
    </w:lvl>
    <w:lvl w:ilvl="8">
      <w:start w:val="1"/>
      <w:numFmt w:val="decimal"/>
      <w:pStyle w:val="9"/>
      <w:isLgl/>
      <w:lvlText w:val="%1.%2.%3.%4.%5.%6.%7.%8.%9"/>
      <w:lvlJc w:val="left"/>
      <w:pPr>
        <w:ind w:left="1559" w:hanging="1559"/>
      </w:pPr>
      <w:rPr>
        <w:rFonts w:cs="Times New Roman"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zI2NjZlYzliOTZlMzhmN2QyODMxMjQ1OWRkMjExZD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autoRedefine/>
    <w:next w:val="0"/>
    <w:pPr>
      <w:keepNext/>
      <w:keepLines/>
      <w:widowControl w:val="0"/>
      <w:numPr>
        <w:ilvl w:val="0"/>
        <w:numId w:val="11"/>
      </w:numPr>
      <w:spacing w:before="340" w:after="330" w:line="578" w:lineRule="auto"/>
      <w:outlineLvl w:val="0"/>
    </w:pPr>
    <w:rPr>
      <w:b/>
      <w:kern w:val="44"/>
      <w:sz w:val="44"/>
      <w:szCs w:val="20"/>
    </w:rPr>
  </w:style>
  <w:style w:type="paragraph" w:styleId="2">
    <w:name w:val="heading 2"/>
    <w:basedOn w:val="1"/>
    <w:autoRedefine/>
    <w:next w:val="0"/>
    <w:pPr>
      <w:keepNext/>
      <w:keepLines/>
      <w:widowControl w:val="0"/>
      <w:numPr>
        <w:ilvl w:val="1"/>
        <w:numId w:val="11"/>
      </w:numPr>
      <w:tabs>
        <w:tab w:val="clear" w:pos="425"/>
      </w:tabs>
      <w:spacing w:before="260" w:after="260" w:line="415" w:lineRule="auto"/>
      <w:outlineLvl w:val="1"/>
    </w:pPr>
    <w:rPr>
      <w:rFonts w:ascii="Arial" w:eastAsia="黑体" w:hAnsi="Arial"/>
      <w:kern w:val="0"/>
      <w:sz w:val="32"/>
      <w:szCs w:val="20"/>
    </w:rPr>
  </w:style>
  <w:style w:type="paragraph" w:styleId="3">
    <w:name w:val="heading 3"/>
    <w:basedOn w:val="0"/>
    <w:autoRedefine/>
    <w:next w:val="15"/>
    <w:pPr>
      <w:keepNext/>
      <w:keepLines/>
      <w:widowControl w:val="0"/>
      <w:numPr>
        <w:ilvl w:val="2"/>
        <w:numId w:val="11"/>
      </w:numPr>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0"/>
    <w:next w:val="0"/>
    <w:pPr>
      <w:keepNext/>
      <w:widowControl w:val="0"/>
      <w:numPr>
        <w:ilvl w:val="3"/>
        <w:numId w:val="11"/>
      </w:numPr>
      <w:outlineLvl w:val="3"/>
    </w:pPr>
    <w:rPr>
      <w:kern w:val="0"/>
      <w:sz w:val="28"/>
      <w:szCs w:val="20"/>
    </w:rPr>
  </w:style>
  <w:style w:type="paragraph" w:styleId="5">
    <w:name w:val="heading 5"/>
    <w:basedOn w:val="0"/>
    <w:next w:val="0"/>
    <w:pPr>
      <w:keepNext/>
      <w:keepLines/>
      <w:widowControl w:val="0"/>
      <w:numPr>
        <w:ilvl w:val="4"/>
        <w:numId w:val="11"/>
      </w:numPr>
      <w:spacing w:before="280" w:after="290" w:line="377" w:lineRule="auto"/>
      <w:outlineLvl w:val="4"/>
    </w:pPr>
    <w:rPr>
      <w:b/>
      <w:sz w:val="28"/>
      <w:szCs w:val="20"/>
    </w:rPr>
  </w:style>
  <w:style w:type="paragraph" w:styleId="6">
    <w:name w:val="heading 6"/>
    <w:basedOn w:val="0"/>
    <w:autoRedefine/>
    <w:next w:val="0"/>
    <w:pPr>
      <w:keepNext/>
      <w:keepLines/>
      <w:widowControl w:val="0"/>
      <w:numPr>
        <w:ilvl w:val="5"/>
        <w:numId w:val="11"/>
      </w:numPr>
      <w:spacing w:before="240" w:after="64" w:line="319" w:lineRule="auto"/>
      <w:outlineLvl w:val="5"/>
    </w:pPr>
    <w:rPr>
      <w:rFonts w:ascii="Arial" w:eastAsia="黑体" w:hAnsi="Arial"/>
      <w:b/>
      <w:sz w:val="24"/>
      <w:szCs w:val="20"/>
    </w:rPr>
  </w:style>
  <w:style w:type="paragraph" w:styleId="7">
    <w:name w:val="heading 7"/>
    <w:basedOn w:val="0"/>
    <w:autoRedefine/>
    <w:next w:val="0"/>
    <w:pPr>
      <w:keepNext/>
      <w:keepLines/>
      <w:widowControl w:val="0"/>
      <w:numPr>
        <w:ilvl w:val="6"/>
        <w:numId w:val="11"/>
      </w:numPr>
      <w:spacing w:before="240" w:after="64" w:line="319" w:lineRule="auto"/>
      <w:outlineLvl w:val="6"/>
    </w:pPr>
    <w:rPr>
      <w:b/>
      <w:sz w:val="24"/>
      <w:szCs w:val="20"/>
    </w:rPr>
  </w:style>
  <w:style w:type="paragraph" w:styleId="8">
    <w:name w:val="heading 8"/>
    <w:basedOn w:val="0"/>
    <w:autoRedefine/>
    <w:next w:val="0"/>
    <w:pPr>
      <w:keepNext/>
      <w:keepLines/>
      <w:widowControl w:val="0"/>
      <w:numPr>
        <w:ilvl w:val="7"/>
        <w:numId w:val="11"/>
      </w:numPr>
      <w:spacing w:before="240" w:after="64" w:line="319" w:lineRule="auto"/>
      <w:outlineLvl w:val="7"/>
    </w:pPr>
    <w:rPr>
      <w:rFonts w:ascii="Arial" w:eastAsia="黑体" w:hAnsi="Arial"/>
      <w:sz w:val="24"/>
      <w:szCs w:val="20"/>
    </w:rPr>
  </w:style>
  <w:style w:type="paragraph" w:styleId="9">
    <w:name w:val="heading 9"/>
    <w:basedOn w:val="0"/>
    <w:autoRedefine/>
    <w:next w:val="0"/>
    <w:pPr>
      <w:keepNext/>
      <w:keepLines/>
      <w:widowControl w:val="0"/>
      <w:numPr>
        <w:ilvl w:val="8"/>
        <w:numId w:val="11"/>
      </w:numPr>
      <w:spacing w:before="240" w:after="64" w:line="319" w:lineRule="auto"/>
      <w:outlineLvl w:val="8"/>
    </w:pPr>
    <w:rPr>
      <w:rFonts w:ascii="Arial" w:eastAsia="黑体" w:hAnsi="Arial"/>
      <w:szCs w:val="20"/>
    </w:rPr>
  </w:style>
  <w:style w:type="character" w:default="1" w:styleId="10">
    <w:name w:val="Default Paragraph Font"/>
  </w:style>
  <w:style w:type="paragraph" w:styleId="15">
    <w:name w:val="Normal Indent"/>
    <w:basedOn w:val="0"/>
    <w:autoRedefine/>
    <w:pPr>
      <w:autoSpaceDE w:val="0"/>
      <w:autoSpaceDN w:val="0"/>
      <w:adjustRightInd w:val="0"/>
      <w:spacing w:line="315" w:lineRule="atLeast"/>
      <w:ind w:firstLine="420"/>
      <w:jc w:val="left"/>
    </w:pPr>
    <w:rPr>
      <w:rFonts w:ascii="楷体_GB2312" w:eastAsia="楷体_GB2312"/>
      <w:kern w:val="0"/>
      <w:sz w:val="20"/>
      <w:szCs w:val="20"/>
    </w:rPr>
  </w:style>
  <w:style w:type="paragraph" w:styleId="16">
    <w:name w:val="toc 7"/>
    <w:basedOn w:val="0"/>
    <w:autoRedefine/>
    <w:next w:val="0"/>
    <w:pPr>
      <w:ind w:left="1260"/>
      <w:jc w:val="left"/>
    </w:pPr>
    <w:rPr>
      <w:sz w:val="18"/>
      <w:szCs w:val="18"/>
    </w:rPr>
  </w:style>
  <w:style w:type="paragraph" w:styleId="17">
    <w:name w:val="Document Map"/>
    <w:basedOn w:val="0"/>
    <w:autoRedefine/>
    <w:rPr>
      <w:rFonts w:ascii="宋体"/>
      <w:sz w:val="18"/>
      <w:szCs w:val="20"/>
    </w:rPr>
  </w:style>
  <w:style w:type="paragraph" w:styleId="18">
    <w:name w:val="annotation text"/>
    <w:basedOn w:val="0"/>
    <w:autoRedefine/>
    <w:pPr>
      <w:jc w:val="left"/>
    </w:pPr>
    <w:rPr>
      <w:kern w:val="0"/>
      <w:sz w:val="24"/>
      <w:szCs w:val="20"/>
    </w:rPr>
  </w:style>
  <w:style w:type="paragraph" w:styleId="19">
    <w:name w:val="Salutation"/>
    <w:basedOn w:val="0"/>
    <w:autoRedefine/>
    <w:next w:val="0"/>
    <w:rPr>
      <w:sz w:val="24"/>
      <w:szCs w:val="20"/>
    </w:rPr>
  </w:style>
  <w:style w:type="paragraph" w:styleId="20">
    <w:name w:val="Body Text 3"/>
    <w:basedOn w:val="0"/>
    <w:autoRedefine/>
    <w:pPr>
      <w:spacing w:after="120"/>
    </w:pPr>
    <w:rPr>
      <w:kern w:val="0"/>
      <w:sz w:val="16"/>
      <w:szCs w:val="20"/>
    </w:rPr>
  </w:style>
  <w:style w:type="paragraph" w:styleId="21">
    <w:name w:val="Body Text"/>
    <w:basedOn w:val="0"/>
    <w:autoRedefine/>
    <w:next w:val="22"/>
    <w:rPr>
      <w:sz w:val="28"/>
      <w:szCs w:val="20"/>
    </w:rPr>
  </w:style>
  <w:style w:type="paragraph" w:styleId="22">
    <w:name w:val="Body Text First Indent"/>
    <w:basedOn w:val="21"/>
    <w:autoRedefine/>
    <w:next w:val="23"/>
    <w:pPr>
      <w:ind w:firstLineChars="100" w:firstLine="100"/>
    </w:pPr>
    <w:rPr>
      <w:rFonts w:ascii="Calibri" w:hAnsi="Calibri"/>
      <w:sz w:val="22"/>
    </w:rPr>
  </w:style>
  <w:style w:type="paragraph" w:styleId="23">
    <w:name w:val="toc 6"/>
    <w:basedOn w:val="0"/>
    <w:autoRedefine/>
    <w:next w:val="0"/>
    <w:pPr>
      <w:ind w:left="1050"/>
      <w:jc w:val="left"/>
    </w:pPr>
    <w:rPr>
      <w:sz w:val="18"/>
      <w:szCs w:val="18"/>
    </w:rPr>
  </w:style>
  <w:style w:type="paragraph" w:styleId="24">
    <w:name w:val="Body Text Indent"/>
    <w:basedOn w:val="0"/>
    <w:pPr>
      <w:autoSpaceDE w:val="0"/>
      <w:autoSpaceDN w:val="0"/>
      <w:adjustRightInd w:val="0"/>
      <w:spacing w:after="120" w:line="360" w:lineRule="atLeast"/>
      <w:ind w:left="900"/>
    </w:pPr>
    <w:rPr>
      <w:rFonts w:ascii="楷体_GB2312" w:eastAsia="楷体_GB2312"/>
      <w:kern w:val="0"/>
      <w:sz w:val="28"/>
      <w:szCs w:val="20"/>
    </w:rPr>
  </w:style>
  <w:style w:type="paragraph" w:styleId="25">
    <w:name w:val="Block Text"/>
    <w:basedOn w:val="0"/>
    <w:pPr>
      <w:adjustRightInd w:val="0"/>
      <w:snapToGrid w:val="0"/>
      <w:spacing w:line="300" w:lineRule="auto"/>
      <w:ind w:left="958" w:rightChars="-120" w:right="-120"/>
      <w:jc w:val="left"/>
    </w:pPr>
    <w:rPr>
      <w:rFonts w:ascii="Century Gothic" w:hAnsi="Century Gothic"/>
      <w:sz w:val="28"/>
      <w:szCs w:val="20"/>
    </w:rPr>
  </w:style>
  <w:style w:type="paragraph" w:styleId="26">
    <w:name w:val="toc 5"/>
    <w:basedOn w:val="0"/>
    <w:autoRedefine/>
    <w:next w:val="0"/>
    <w:pPr>
      <w:ind w:left="840"/>
      <w:jc w:val="left"/>
    </w:pPr>
    <w:rPr>
      <w:sz w:val="18"/>
      <w:szCs w:val="18"/>
    </w:rPr>
  </w:style>
  <w:style w:type="paragraph" w:styleId="27">
    <w:name w:val="toc 3"/>
    <w:basedOn w:val="0"/>
    <w:autoRedefine/>
    <w:next w:val="0"/>
    <w:pPr>
      <w:ind w:left="420"/>
      <w:jc w:val="left"/>
    </w:pPr>
    <w:rPr>
      <w:i/>
      <w:iCs/>
      <w:sz w:val="20"/>
      <w:szCs w:val="20"/>
    </w:rPr>
  </w:style>
  <w:style w:type="paragraph" w:styleId="28">
    <w:name w:val="Plain Text"/>
    <w:basedOn w:val="0"/>
    <w:autoRedefine/>
    <w:rPr>
      <w:rFonts w:ascii="宋体"/>
      <w:kern w:val="0"/>
      <w:sz w:val="20"/>
      <w:szCs w:val="20"/>
    </w:rPr>
  </w:style>
  <w:style w:type="paragraph" w:styleId="29">
    <w:name w:val="toc 8"/>
    <w:basedOn w:val="0"/>
    <w:autoRedefine/>
    <w:next w:val="0"/>
    <w:pPr>
      <w:ind w:left="1470"/>
      <w:jc w:val="left"/>
    </w:pPr>
    <w:rPr>
      <w:sz w:val="18"/>
      <w:szCs w:val="18"/>
    </w:rPr>
  </w:style>
  <w:style w:type="paragraph" w:styleId="30">
    <w:name w:val="Date"/>
    <w:basedOn w:val="0"/>
    <w:autoRedefine/>
    <w:next w:val="0"/>
    <w:pPr>
      <w:ind w:leftChars="2500" w:left="2500"/>
    </w:pPr>
    <w:rPr>
      <w:szCs w:val="20"/>
    </w:rPr>
  </w:style>
  <w:style w:type="paragraph" w:styleId="31">
    <w:name w:val="Body Text Indent 2"/>
    <w:basedOn w:val="0"/>
    <w:autoRedefine/>
    <w:pPr>
      <w:spacing w:line="480" w:lineRule="auto"/>
      <w:ind w:firstLineChars="200" w:firstLine="200"/>
    </w:pPr>
    <w:rPr>
      <w:rFonts w:ascii="仿宋_GB2312" w:eastAsia="仿宋_GB2312"/>
      <w:sz w:val="24"/>
      <w:szCs w:val="20"/>
    </w:rPr>
  </w:style>
  <w:style w:type="paragraph" w:styleId="32">
    <w:name w:val="Balloon Text"/>
    <w:basedOn w:val="0"/>
    <w:autoRedefine/>
    <w:rPr>
      <w:sz w:val="18"/>
      <w:szCs w:val="20"/>
    </w:rPr>
  </w:style>
  <w:style w:type="paragraph" w:styleId="33">
    <w:name w:val="footer"/>
    <w:basedOn w:val="0"/>
    <w:autoRedefine/>
    <w:pPr>
      <w:tabs>
        <w:tab w:val="center" w:pos="4153"/>
        <w:tab w:val="right" w:pos="8306"/>
      </w:tabs>
      <w:snapToGrid w:val="0"/>
      <w:jc w:val="left"/>
    </w:pPr>
    <w:rPr>
      <w:sz w:val="18"/>
      <w:szCs w:val="20"/>
    </w:rPr>
  </w:style>
  <w:style w:type="paragraph" w:styleId="34">
    <w:name w:val="header"/>
    <w:basedOn w:val="0"/>
    <w:autoRedefine/>
    <w:pPr>
      <w:pBdr>
        <w:bottom w:val="single" w:sz="6" w:space="1" w:color="auto"/>
      </w:pBdr>
      <w:tabs>
        <w:tab w:val="center" w:pos="4153"/>
        <w:tab w:val="right" w:pos="8306"/>
      </w:tabs>
      <w:snapToGrid w:val="0"/>
      <w:jc w:val="center"/>
    </w:pPr>
    <w:rPr>
      <w:sz w:val="18"/>
      <w:szCs w:val="20"/>
    </w:rPr>
  </w:style>
  <w:style w:type="paragraph" w:styleId="35">
    <w:name w:val="toc 1"/>
    <w:basedOn w:val="0"/>
    <w:autoRedefine/>
    <w:next w:val="0"/>
    <w:pPr>
      <w:spacing w:before="120" w:after="120"/>
      <w:jc w:val="left"/>
    </w:pPr>
    <w:rPr>
      <w:b/>
      <w:bCs/>
      <w:caps/>
      <w:smallCaps w:val="0"/>
      <w:sz w:val="20"/>
      <w:szCs w:val="20"/>
    </w:rPr>
  </w:style>
  <w:style w:type="paragraph" w:styleId="36">
    <w:name w:val="toc 4"/>
    <w:basedOn w:val="0"/>
    <w:autoRedefine/>
    <w:next w:val="0"/>
    <w:pPr>
      <w:ind w:left="630"/>
      <w:jc w:val="left"/>
    </w:pPr>
    <w:rPr>
      <w:sz w:val="18"/>
      <w:szCs w:val="18"/>
    </w:rPr>
  </w:style>
  <w:style w:type="paragraph" w:styleId="37">
    <w:name w:val="Subtitle"/>
    <w:basedOn w:val="0"/>
    <w:autoRedefine/>
    <w:next w:val="0"/>
    <w:pPr>
      <w:spacing w:before="240" w:after="60" w:line="312" w:lineRule="auto"/>
      <w:jc w:val="center"/>
      <w:outlineLvl w:val="1"/>
    </w:pPr>
    <w:rPr>
      <w:rFonts w:ascii="宋体"/>
      <w:kern w:val="0"/>
      <w:sz w:val="18"/>
      <w:szCs w:val="20"/>
    </w:rPr>
  </w:style>
  <w:style w:type="paragraph" w:styleId="38">
    <w:name w:val="List"/>
    <w:basedOn w:val="0"/>
    <w:pPr>
      <w:ind w:left="283" w:hanging="283"/>
      <w:contextualSpacing/>
    </w:pPr>
  </w:style>
  <w:style w:type="paragraph" w:styleId="39">
    <w:name w:val="footnote text"/>
    <w:basedOn w:val="0"/>
    <w:autoRedefine/>
    <w:rPr>
      <w:sz w:val="20"/>
      <w:szCs w:val="20"/>
    </w:rPr>
  </w:style>
  <w:style w:type="paragraph" w:styleId="40">
    <w:name w:val="Body Text Indent 3"/>
    <w:basedOn w:val="0"/>
    <w:autoRedefine/>
    <w:pPr>
      <w:spacing w:after="120" w:line="360" w:lineRule="atLeast"/>
      <w:ind w:firstLineChars="300" w:firstLine="300"/>
    </w:pPr>
    <w:rPr>
      <w:sz w:val="24"/>
      <w:szCs w:val="20"/>
    </w:rPr>
  </w:style>
  <w:style w:type="paragraph" w:styleId="41">
    <w:name w:val="toc 2"/>
    <w:basedOn w:val="0"/>
    <w:autoRedefine/>
    <w:next w:val="0"/>
    <w:pPr>
      <w:ind w:left="210"/>
      <w:jc w:val="left"/>
    </w:pPr>
    <w:rPr>
      <w:caps w:val="0"/>
      <w:smallCaps/>
      <w:sz w:val="20"/>
      <w:szCs w:val="20"/>
    </w:rPr>
  </w:style>
  <w:style w:type="paragraph" w:styleId="42">
    <w:name w:val="toc 9"/>
    <w:basedOn w:val="0"/>
    <w:autoRedefine/>
    <w:next w:val="0"/>
    <w:pPr>
      <w:ind w:left="1680"/>
      <w:jc w:val="left"/>
    </w:pPr>
    <w:rPr>
      <w:sz w:val="18"/>
      <w:szCs w:val="18"/>
    </w:rPr>
  </w:style>
  <w:style w:type="paragraph" w:styleId="43">
    <w:name w:val="Body Text 2"/>
    <w:basedOn w:val="0"/>
    <w:autoRedefine/>
    <w:pPr>
      <w:spacing w:line="120" w:lineRule="atLeast"/>
    </w:pPr>
    <w:rPr>
      <w:sz w:val="24"/>
      <w:szCs w:val="20"/>
    </w:rPr>
  </w:style>
  <w:style w:type="paragraph" w:styleId="44">
    <w:name w:val="Normal (Web)"/>
    <w:basedOn w:val="0"/>
    <w:autoRedefine/>
    <w:pPr>
      <w:widowControl/>
      <w:spacing w:before="100" w:beforeAutospacing="1" w:after="100" w:afterAutospacing="1"/>
      <w:jc w:val="left"/>
    </w:pPr>
    <w:rPr>
      <w:rFonts w:ascii="宋体" w:cs="宋体"/>
      <w:kern w:val="0"/>
      <w:sz w:val="24"/>
    </w:rPr>
  </w:style>
  <w:style w:type="paragraph" w:styleId="45">
    <w:name w:val="Title"/>
    <w:basedOn w:val="0"/>
    <w:autoRedefine/>
    <w:next w:val="0"/>
    <w:pPr>
      <w:spacing w:before="240" w:after="60"/>
      <w:jc w:val="center"/>
      <w:outlineLvl w:val="0"/>
    </w:pPr>
    <w:rPr>
      <w:rFonts w:ascii="Cambria" w:hAnsi="Cambria"/>
      <w:b/>
      <w:sz w:val="32"/>
      <w:szCs w:val="20"/>
    </w:rPr>
  </w:style>
  <w:style w:type="paragraph" w:styleId="46">
    <w:name w:val="annotation subject"/>
    <w:basedOn w:val="18"/>
    <w:autoRedefine/>
    <w:next w:val="18"/>
    <w:rPr>
      <w:b/>
    </w:rPr>
  </w:style>
  <w:style w:type="paragraph" w:styleId="47">
    <w:name w:val="Body Text First Indent 2"/>
    <w:basedOn w:val="24"/>
    <w:autoRedefine/>
    <w:next w:val="0"/>
    <w:pPr>
      <w:autoSpaceDE/>
      <w:autoSpaceDN/>
      <w:adjustRightInd/>
      <w:spacing w:line="240" w:lineRule="auto"/>
      <w:ind w:leftChars="200" w:left="200" w:firstLineChars="200" w:firstLine="200"/>
    </w:pPr>
    <w:rPr>
      <w:sz w:val="24"/>
    </w:rPr>
  </w:style>
  <w:style w:type="character" w:styleId="48">
    <w:name w:val="Strong"/>
    <w:autoRedefine/>
    <w:rPr>
      <w:rFonts w:cs="Times New Roman"/>
      <w:b/>
    </w:rPr>
  </w:style>
  <w:style w:type="character" w:styleId="49">
    <w:name w:val="page number"/>
    <w:autoRedefine/>
    <w:rPr>
      <w:rFonts w:cs="Times New Roman"/>
    </w:rPr>
  </w:style>
  <w:style w:type="character" w:styleId="50">
    <w:name w:val="Hyperlink"/>
    <w:autoRedefine/>
    <w:rPr>
      <w:rFonts w:cs="Times New Roman"/>
      <w:color w:val="0000FF"/>
      <w:u w:val="single"/>
    </w:rPr>
  </w:style>
  <w:style w:type="character" w:styleId="51">
    <w:name w:val="annotation reference"/>
    <w:autoRedefine/>
    <w:rPr>
      <w:rFonts w:cs="Times New Roman"/>
      <w:sz w:val="21"/>
    </w:rPr>
  </w:style>
  <w:style w:type="paragraph" w:customStyle="1" w:styleId="52">
    <w:name w:val="Default"/>
    <w:autoRedefine/>
    <w:pPr>
      <w:widowControl w:val="0"/>
      <w:autoSpaceDE w:val="0"/>
      <w:autoSpaceDN w:val="0"/>
      <w:adjustRightInd w:val="0"/>
    </w:pPr>
    <w:rPr>
      <w:rFonts w:ascii="Times New Roman" w:eastAsia="宋体" w:cs="Times New Roman" w:hAnsi="Times New Roman"/>
      <w:color w:val="000000"/>
      <w:sz w:val="24"/>
      <w:szCs w:val="24"/>
      <w:lang w:val="en-US" w:eastAsia="zh-CN" w:bidi="ar-SA"/>
    </w:rPr>
  </w:style>
  <w:style w:type="character" w:customStyle="1" w:styleId="53">
    <w:name w:val="纯文本 Char Char Char Char Char Char Char Char Char Char Char Char Char Char1"/>
    <w:autoRedefine/>
    <w:rPr>
      <w:rFonts w:ascii="Century Gothic" w:eastAsia="宋体" w:hAnsi="Century Gothic"/>
      <w:kern w:val="2"/>
      <w:sz w:val="21"/>
      <w:lang w:val="en-US" w:eastAsia="zh-CN"/>
    </w:rPr>
  </w:style>
  <w:style w:type="character" w:customStyle="1" w:styleId="54">
    <w:name w:val="bookmark-item uuid-1536325460878 code-23001"/>
    <w:autoRedefine/>
  </w:style>
  <w:style w:type="paragraph" w:customStyle="1" w:styleId="55">
    <w:name w:val="文档结构图1"/>
    <w:basedOn w:val="0"/>
    <w:autoRedefine/>
    <w:rPr>
      <w:rFonts w:ascii="宋体"/>
      <w:kern w:val="0"/>
      <w:sz w:val="18"/>
      <w:szCs w:val="20"/>
    </w:rPr>
  </w:style>
  <w:style w:type="paragraph" w:customStyle="1" w:styleId="56">
    <w:name w:val="列出段落1"/>
    <w:basedOn w:val="0"/>
    <w:autoRedefine/>
    <w:pPr>
      <w:ind w:firstLineChars="200" w:firstLine="200"/>
    </w:pPr>
    <w:rPr>
      <w:kern w:val="0"/>
      <w:sz w:val="20"/>
      <w:szCs w:val="20"/>
    </w:rPr>
  </w:style>
  <w:style w:type="paragraph" w:customStyle="1" w:styleId="57">
    <w:name w:val="内文"/>
    <w:autoRedefine/>
    <w:pPr>
      <w:adjustRightInd w:val="0"/>
      <w:snapToGrid w:val="0"/>
      <w:spacing w:line="400" w:lineRule="exact"/>
      <w:ind w:firstLineChars="200" w:firstLine="200"/>
      <w:jc w:val="both"/>
    </w:pPr>
    <w:rPr>
      <w:rFonts w:ascii="Arial" w:eastAsia="宋体" w:cs="Times New Roman" w:hAnsi="Arial"/>
      <w:kern w:val="2"/>
      <w:sz w:val="21"/>
      <w:szCs w:val="22"/>
      <w:lang w:val="en-US" w:eastAsia="zh-CN" w:bidi="ar-SA"/>
    </w:rPr>
  </w:style>
  <w:style w:type="paragraph" w:customStyle="1" w:styleId="58">
    <w:name w:val="明显引用1"/>
    <w:basedOn w:val="0"/>
    <w:autoRedefine/>
    <w:next w:val="0"/>
    <w:pPr>
      <w:pBdr>
        <w:bottom w:val="single" w:sz="4" w:space="4" w:color="4F81BD"/>
      </w:pBdr>
      <w:spacing w:before="200" w:after="280"/>
      <w:ind w:left="936" w:right="936"/>
    </w:pPr>
    <w:rPr>
      <w:b/>
      <w:i/>
      <w:color w:val="4F81BD"/>
      <w:kern w:val="0"/>
      <w:sz w:val="22"/>
      <w:szCs w:val="20"/>
    </w:rPr>
  </w:style>
  <w:style w:type="paragraph" w:customStyle="1" w:styleId="59">
    <w:name w:val="标题5"/>
    <w:basedOn w:val="3"/>
    <w:autoRedefine/>
    <w:pPr>
      <w:autoSpaceDE/>
      <w:autoSpaceDN/>
      <w:adjustRightInd/>
      <w:spacing w:before="260" w:after="260" w:line="413" w:lineRule="auto"/>
    </w:pPr>
    <w:rPr>
      <w:rFonts w:ascii="Arial" w:eastAsia="宋体" w:hAnsi="Arial"/>
      <w:b/>
      <w:sz w:val="32"/>
    </w:rPr>
  </w:style>
  <w:style w:type="paragraph" w:customStyle="1" w:styleId="60">
    <w:name w:val="引用1"/>
    <w:basedOn w:val="0"/>
    <w:autoRedefine/>
    <w:next w:val="0"/>
    <w:rPr>
      <w:i/>
      <w:color w:val="000000"/>
      <w:kern w:val="0"/>
      <w:sz w:val="22"/>
      <w:szCs w:val="20"/>
    </w:rPr>
  </w:style>
  <w:style w:type="paragraph" w:customStyle="1" w:styleId="61">
    <w:name w:val="_Style 3"/>
    <w:basedOn w:val="0"/>
    <w:autoRedefine/>
    <w:pPr>
      <w:ind w:firstLineChars="200" w:firstLine="200"/>
    </w:pPr>
    <w:rPr>
      <w:rFonts w:ascii="Calibri" w:hAnsi="Calibri"/>
      <w:szCs w:val="22"/>
    </w:rPr>
  </w:style>
  <w:style w:type="paragraph" w:customStyle="1" w:styleId="62">
    <w:name w:val="_Style 2"/>
    <w:basedOn w:val="0"/>
    <w:autoRedefine/>
    <w:pPr>
      <w:widowControl/>
      <w:snapToGrid w:val="0"/>
      <w:spacing w:line="360" w:lineRule="auto"/>
      <w:ind w:firstLine="420"/>
    </w:pPr>
    <w:rPr>
      <w:rFonts w:ascii="Arial" w:hAnsi="Arial"/>
      <w:kern w:val="0"/>
      <w:sz w:val="24"/>
      <w:szCs w:val="20"/>
    </w:rPr>
  </w:style>
  <w:style w:type="paragraph" w:customStyle="1" w:styleId="63">
    <w:name w:val="段"/>
    <w:autoRedefine/>
    <w:pPr>
      <w:autoSpaceDE w:val="0"/>
      <w:autoSpaceDN w:val="0"/>
      <w:ind w:firstLineChars="200" w:firstLine="200"/>
      <w:jc w:val="both"/>
    </w:pPr>
    <w:rPr>
      <w:rFonts w:ascii="宋体" w:eastAsia="宋体" w:cs="Times New Roman"/>
      <w:sz w:val="21"/>
      <w:szCs w:val="22"/>
      <w:lang w:val="en-US" w:eastAsia="zh-CN" w:bidi="ar-SA"/>
    </w:rPr>
  </w:style>
  <w:style w:type="paragraph" w:customStyle="1" w:styleId="64">
    <w:name w:val="正文2"/>
    <w:basedOn w:val="0"/>
    <w:autoRedefine/>
    <w:pPr>
      <w:spacing w:before="156" w:line="360" w:lineRule="auto"/>
      <w:ind w:firstLineChars="200" w:firstLine="200"/>
    </w:pPr>
    <w:rPr>
      <w:sz w:val="24"/>
    </w:rPr>
  </w:style>
  <w:style w:type="paragraph" w:customStyle="1" w:styleId="65">
    <w:name w:val="List Paragraph1"/>
    <w:basedOn w:val="0"/>
    <w:autoRedefine/>
    <w:pPr>
      <w:ind w:firstLineChars="200" w:firstLine="200"/>
    </w:pPr>
    <w:rPr>
      <w:rFonts w:ascii="Calibri" w:hAnsi="Calibri"/>
      <w:szCs w:val="22"/>
    </w:rPr>
  </w:style>
  <w:style w:type="paragraph" w:customStyle="1" w:styleId="66">
    <w:name w:val="[Normal]"/>
    <w:autoRedefine/>
    <w:rPr>
      <w:rFonts w:ascii="宋体" w:eastAsia="宋体" w:cs="Times New Roman"/>
      <w:sz w:val="24"/>
      <w:szCs w:val="22"/>
      <w:lang w:val="zh-CN" w:eastAsia="zh-CN" w:bidi="ar-SA"/>
    </w:rPr>
  </w:style>
  <w:style w:type="character" w:customStyle="1" w:styleId="67">
    <w:name w:val="标题 Char3"/>
    <w:autoRedefine/>
    <w:rPr>
      <w:b/>
      <w:sz w:val="24"/>
      <w:lang w:val="en-GB"/>
    </w:rPr>
  </w:style>
  <w:style w:type="paragraph" w:customStyle="1" w:styleId="68">
    <w:name w:val="默认段落字体 Para Char Char Char Char Char Char Char Char Char1 Char Char Char Char"/>
    <w:basedOn w:val="0"/>
    <w:autoRedefine/>
    <w:rPr>
      <w:rFonts w:ascii="Tahoma" w:hAnsi="Tahoma"/>
      <w:sz w:val="24"/>
      <w:szCs w:val="20"/>
    </w:rPr>
  </w:style>
  <w:style w:type="paragraph" w:customStyle="1" w:styleId="69">
    <w:name w:val="表格内容"/>
    <w:basedOn w:val="0"/>
    <w:autoRedefine/>
    <w:pPr>
      <w:jc w:val="center"/>
    </w:pPr>
    <w:rPr>
      <w:rFonts w:ascii="Calibri" w:eastAsia="Times New Roman" w:hAnsi="Calibri"/>
      <w:kern w:val="0"/>
      <w:sz w:val="20"/>
      <w:szCs w:val="20"/>
    </w:rPr>
  </w:style>
  <w:style w:type="character" w:customStyle="1" w:styleId="70">
    <w:name w:val="纯文本 Char1"/>
    <w:autoRedefine/>
    <w:rPr>
      <w:kern w:val="2"/>
      <w:sz w:val="21"/>
    </w:rPr>
  </w:style>
  <w:style w:type="character" w:customStyle="1" w:styleId="71">
    <w:name w:val="Char Char5"/>
    <w:autoRedefine/>
    <w:rPr>
      <w:rFonts w:eastAsia="宋体"/>
      <w:kern w:val="2"/>
      <w:sz w:val="28"/>
      <w:lang w:val="en-US" w:eastAsia="zh-CN"/>
    </w:rPr>
  </w:style>
  <w:style w:type="character" w:customStyle="1" w:styleId="72">
    <w:name w:val="Char Char8"/>
    <w:autoRedefine/>
    <w:rPr>
      <w:rFonts w:eastAsia="宋体"/>
      <w:sz w:val="24"/>
      <w:lang w:val="en-US" w:eastAsia="zh-CN"/>
    </w:rPr>
  </w:style>
  <w:style w:type="character" w:customStyle="1" w:styleId="73">
    <w:name w:val="纯文本 Char"/>
    <w:autoRedefine/>
    <w:rPr>
      <w:rFonts w:ascii="宋体"/>
      <w:kern w:val="2"/>
      <w:sz w:val="24"/>
    </w:rPr>
  </w:style>
  <w:style w:type="character" w:customStyle="1" w:styleId="74">
    <w:name w:val="font01"/>
    <w:autoRedefine/>
    <w:rPr>
      <w:rFonts w:ascii="Wingdings 2" w:hAnsi="Wingdings 2"/>
      <w:color w:val="000000"/>
      <w:sz w:val="18"/>
      <w:u w:val="none"/>
    </w:rPr>
  </w:style>
  <w:style w:type="character" w:customStyle="1" w:styleId="75">
    <w:name w:val="Char Char10"/>
    <w:autoRedefine/>
    <w:rPr>
      <w:rFonts w:ascii="宋体"/>
      <w:kern w:val="2"/>
      <w:sz w:val="24"/>
    </w:rPr>
  </w:style>
  <w:style w:type="character" w:customStyle="1" w:styleId="76">
    <w:name w:val="Char Char11"/>
    <w:autoRedefine/>
    <w:rPr>
      <w:rFonts w:ascii="Calibri" w:eastAsia="Times New Roman" w:hAnsi="Calibri"/>
      <w:kern w:val="2"/>
      <w:sz w:val="18"/>
    </w:rPr>
  </w:style>
  <w:style w:type="character" w:customStyle="1" w:styleId="77">
    <w:name w:val="纯文本 Char Char Char Char Char Char Char Char Char Char Char Char Char Char3"/>
    <w:autoRedefine/>
    <w:rPr>
      <w:rFonts w:ascii="宋体"/>
      <w:sz w:val="18"/>
    </w:rPr>
  </w:style>
  <w:style w:type="paragraph" w:customStyle="1" w:styleId="78">
    <w:name w:val="Body Text 21"/>
    <w:basedOn w:val="0"/>
    <w:autoRedefine/>
    <w:pPr>
      <w:adjustRightInd w:val="0"/>
      <w:spacing w:line="300" w:lineRule="auto"/>
      <w:jc w:val="center"/>
    </w:pPr>
    <w:rPr>
      <w:rFonts w:ascii="宋体"/>
      <w:kern w:val="0"/>
      <w:sz w:val="24"/>
      <w:szCs w:val="20"/>
    </w:rPr>
  </w:style>
  <w:style w:type="character" w:customStyle="1" w:styleId="79">
    <w:name w:val="页脚 Char"/>
    <w:autoRedefine/>
    <w:rPr>
      <w:rFonts w:eastAsia="Times New Roman"/>
      <w:kern w:val="2"/>
      <w:sz w:val="18"/>
      <w:lang w:val="en-US" w:eastAsia="zh-CN"/>
    </w:rPr>
  </w:style>
  <w:style w:type="paragraph" w:customStyle="1" w:styleId="80">
    <w:name w:val="列出段落2"/>
    <w:basedOn w:val="0"/>
    <w:autoRedefine/>
    <w:pPr>
      <w:ind w:firstLineChars="200" w:firstLine="200"/>
    </w:pPr>
  </w:style>
  <w:style w:type="paragraph" w:customStyle="1" w:styleId="81">
    <w:name w:val="List Paragraph"/>
    <w:basedOn w:val="0"/>
    <w:autoRedefine/>
    <w:pPr>
      <w:ind w:firstLineChars="200" w:firstLine="200"/>
    </w:pPr>
  </w:style>
  <w:style w:type="character" w:customStyle="1" w:styleId="82">
    <w:name w:val="正文文本缩进 Char"/>
    <w:autoRedefine/>
    <w:rPr>
      <w:rFonts w:ascii="Century Gothic" w:hAnsi="Century Gothic"/>
      <w:kern w:val="2"/>
      <w:sz w:val="24"/>
      <w:lang w:val="en-US" w:eastAsia="zh-CN"/>
    </w:rPr>
  </w:style>
  <w:style w:type="paragraph" w:customStyle="1" w:styleId="83">
    <w:name w:val="xl35"/>
    <w:basedOn w:val="0"/>
    <w:autoRedefine/>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Times New Roman" w:cs="Century Gothic" w:hAnsi="Arial Narrow"/>
      <w:kern w:val="0"/>
      <w:sz w:val="24"/>
    </w:rPr>
  </w:style>
  <w:style w:type="character" w:customStyle="1" w:styleId="84">
    <w:name w:val="Char Char101"/>
    <w:autoRedefine/>
    <w:rPr>
      <w:rFonts w:eastAsia="宋体"/>
      <w:snapToGrid w:val="0"/>
      <w:sz w:val="18"/>
      <w:lang w:val="en-US" w:eastAsia="zh-CN"/>
    </w:rPr>
  </w:style>
  <w:style w:type="paragraph" w:customStyle="1" w:styleId="85">
    <w:name w:val="列出段落3"/>
    <w:basedOn w:val="0"/>
    <w:autoRedefine/>
    <w:pPr>
      <w:ind w:firstLineChars="200" w:firstLine="200"/>
    </w:pPr>
    <w:rPr>
      <w:rFonts w:ascii="Calibri" w:hAnsi="Calibri"/>
      <w:szCs w:val="20"/>
    </w:rPr>
  </w:style>
  <w:style w:type="paragraph" w:customStyle="1" w:styleId="86">
    <w:name w:val="Char"/>
    <w:basedOn w:val="0"/>
    <w:autoRedefine/>
    <w:rPr>
      <w:kern w:val="0"/>
      <w:sz w:val="18"/>
      <w:szCs w:val="20"/>
    </w:rPr>
  </w:style>
  <w:style w:type="paragraph" w:customStyle="1" w:styleId="87">
    <w:name w:val="msolistparagraph"/>
    <w:basedOn w:val="0"/>
    <w:autoRedefine/>
    <w:pPr>
      <w:ind w:firstLineChars="200" w:firstLine="200"/>
    </w:pPr>
  </w:style>
  <w:style w:type="character" w:customStyle="1" w:styleId="88">
    <w:name w:val="hps"/>
    <w:autoRedefine/>
  </w:style>
  <w:style w:type="character" w:customStyle="1" w:styleId="89">
    <w:name w:val="short_text"/>
    <w:autoRedefine/>
  </w:style>
  <w:style w:type="character" w:customStyle="1" w:styleId="90">
    <w:name w:val="wbtr_mn1"/>
    <w:autoRedefine/>
    <w:rPr>
      <w:rFonts w:ascii="Arial" w:hAnsi="Arial"/>
      <w:sz w:val="24"/>
    </w:rPr>
  </w:style>
  <w:style w:type="paragraph" w:customStyle="1" w:styleId="91">
    <w:name w:val="表内文字"/>
    <w:basedOn w:val="0"/>
    <w:autoRedefine/>
    <w:pPr>
      <w:tabs>
        <w:tab w:val="left" w:pos="1418"/>
      </w:tabs>
      <w:spacing w:line="360" w:lineRule="auto"/>
      <w:jc w:val="center"/>
    </w:pPr>
    <w:rPr>
      <w:rFonts w:ascii="仿宋_GB2312" w:eastAsia="仿宋_GB2312"/>
      <w:spacing w:val="-20"/>
      <w:kern w:val="0"/>
      <w:sz w:val="24"/>
    </w:rPr>
  </w:style>
  <w:style w:type="character" w:customStyle="1" w:styleId="92">
    <w:name w:val="fontstyle01"/>
    <w:autoRedefine/>
    <w:rPr>
      <w:rFonts w:ascii="宋体" w:eastAsia="宋体"/>
      <w:color w:val="000000"/>
      <w:sz w:val="20"/>
    </w:rPr>
  </w:style>
  <w:style w:type="character" w:customStyle="1" w:styleId="93">
    <w:name w:val="NormalCharacter"/>
    <w:autoRedefine/>
  </w:style>
  <w:style w:type="paragraph" w:customStyle="1" w:styleId="94">
    <w:name w:val="font5"/>
    <w:basedOn w:val="0"/>
    <w:autoRedefine/>
    <w:pPr>
      <w:widowControl/>
      <w:spacing w:before="100" w:beforeAutospacing="1" w:after="100" w:afterAutospacing="1"/>
      <w:jc w:val="left"/>
    </w:pPr>
    <w:rPr>
      <w:rFonts w:ascii="宋体" w:cs="宋体"/>
      <w:kern w:val="0"/>
      <w:sz w:val="18"/>
      <w:szCs w:val="18"/>
    </w:rPr>
  </w:style>
  <w:style w:type="character" w:customStyle="1" w:styleId="95">
    <w:name w:val="标题 1 Char Char"/>
    <w:autoRedefine/>
    <w:rPr>
      <w:rFonts w:eastAsia="宋体"/>
      <w:b/>
      <w:spacing w:val="-2"/>
      <w:sz w:val="24"/>
      <w:lang w:val="en-US" w:eastAsia="zh-CN" w:bidi="ar-SA"/>
    </w:rPr>
  </w:style>
  <w:style w:type="paragraph" w:customStyle="1" w:styleId="96">
    <w:name w:val="修订1"/>
    <w:autoRedefine/>
    <w:rPr>
      <w:rFonts w:ascii="Times New Roman" w:eastAsia="宋体" w:cs="Times New Roman" w:hAnsi="Times New Roman"/>
      <w:kern w:val="2"/>
      <w:sz w:val="21"/>
      <w:szCs w:val="24"/>
      <w:lang w:val="en-US" w:eastAsia="zh-CN" w:bidi="ar-SA"/>
    </w:rPr>
  </w:style>
  <w:style w:type="paragraph" w:customStyle="1" w:styleId="97">
    <w:name w:val="タイトル:  1-1"/>
    <w:basedOn w:val="0"/>
    <w:autoRedefine/>
    <w:pPr>
      <w:adjustRightInd w:val="0"/>
      <w:spacing w:line="240" w:lineRule="atLeast"/>
      <w:ind w:left="709" w:hanging="709"/>
      <w:jc w:val="left"/>
      <w:textAlignment w:val="baseline"/>
    </w:pPr>
    <w:rPr>
      <w:rFonts w:ascii="Courier New" w:eastAsia="Mincho" w:hAnsi="Courier New"/>
      <w:b/>
      <w:kern w:val="0"/>
      <w:sz w:val="24"/>
      <w:szCs w:val="20"/>
      <w:lang w:eastAsia="ja-JP"/>
    </w:rPr>
  </w:style>
  <w:style w:type="paragraph" w:customStyle="1" w:styleId="98">
    <w:name w:val="列表段落1"/>
    <w:basedOn w:val="0"/>
    <w:autoRedefine/>
    <w:pPr>
      <w:ind w:firstLineChars="200" w:firstLine="200"/>
    </w:pPr>
    <w:rPr>
      <w:rFonts w:ascii="Calibri" w:cs="Calibri" w:hAnsi="Calibri"/>
      <w:szCs w:val="21"/>
    </w:rPr>
  </w:style>
  <w:style w:type="paragraph" w:customStyle="1" w:styleId="99">
    <w:name w:val="纯文本1"/>
    <w:basedOn w:val="0"/>
    <w:autoRedefine/>
    <w:pPr>
      <w:adjustRightInd w:val="0"/>
      <w:textAlignment w:val="baseline"/>
    </w:pPr>
    <w:rPr>
      <w:rFonts w:ascii="宋体" w:eastAsia="楷体_GB2312" w:hAnsi="宋体"/>
      <w:sz w:val="26"/>
      <w:szCs w:val="20"/>
    </w:rPr>
  </w:style>
  <w:style w:type="paragraph" w:customStyle="1" w:styleId="100">
    <w:name w:val="样式1"/>
    <w:basedOn w:val="0"/>
    <w:pPr>
      <w:spacing w:line="360" w:lineRule="exact"/>
      <w:ind w:firstLineChars="200" w:firstLine="200"/>
    </w:pPr>
    <w:rPr>
      <w:rFonts w:ascii="Arial" w:eastAsia="宋体" w:cs="Times New Roman" w:hAnsi="Arial"/>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header" Target="header4.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19</TotalTime>
  <Application>Yozo_Office</Application>
  <Pages>73</Pages>
  <Words>35046</Words>
  <Characters>37609</Characters>
  <Lines>2299</Lines>
  <Paragraphs>1293</Paragraphs>
  <CharactersWithSpaces>39208</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title>浙江国际招投标有限公司</dc:title>
  <dc:creator>谢凯枫</dc:creator>
  <cp:keywords>浙江国际</cp:keywords>
  <cp:lastModifiedBy>蔡嘉依</cp:lastModifiedBy>
  <cp:revision>112</cp:revision>
  <cp:lastPrinted>2025-12-16T06:16:13Z</cp:lastPrinted>
  <dcterms:created xsi:type="dcterms:W3CDTF">2022-06-14T11:46:00Z</dcterms:created>
  <dcterms:modified xsi:type="dcterms:W3CDTF">2025-12-22T06:33:40Z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5B1058C3F96C479BA095BB83932431FC_13</vt:lpwstr>
  </property>
  <property fmtid="{D5CDD505-2E9C-101B-9397-08002B2CF9AE}" pid="4" name="KSOTemplateDocerSaveRecord">
    <vt:lpwstr>eyJoZGlkIjoiZjE0NjEwMTJlYmM2ODk2NDkwNDFjNjAzMTYxODUxOGMiLCJ1c2VySWQiOiI4MDU0OTMyMTIifQ==</vt:lpwstr>
  </property>
</Properties>
</file>