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val="0"/>
        <w:snapToGrid w:val="0"/>
        <w:spacing w:line="360" w:lineRule="auto"/>
        <w:rPr>
          <w:rFonts w:ascii="宋体"/>
          <w:color w:val="auto"/>
          <w:sz w:val="24"/>
          <w:highlight w:val="auto"/>
        </w:rPr>
      </w:pPr>
      <w:bookmarkStart w:id="0" w:name="_GoBack"/>
      <w:bookmarkEnd w:id="0"/>
    </w:p>
    <w:p>
      <w:pPr>
        <w:adjustRightInd w:val="0"/>
        <w:snapToGrid w:val="0"/>
        <w:spacing w:line="360" w:lineRule="auto"/>
        <w:ind w:firstLine="560"/>
        <w:rPr>
          <w:rFonts w:ascii="宋体"/>
          <w:b/>
          <w:color w:val="auto"/>
          <w:sz w:val="24"/>
          <w:u w:val="single"/>
          <w:highlight w:val="auto"/>
        </w:rPr>
      </w:pPr>
    </w:p>
    <w:p>
      <w:pPr>
        <w:jc w:val="center"/>
        <w:rPr>
          <w:rFonts w:ascii="宋体"/>
          <w:b/>
          <w:bCs/>
          <w:color w:val="auto"/>
          <w:sz w:val="44"/>
          <w:szCs w:val="44"/>
          <w:highlight w:val="auto"/>
        </w:rPr>
      </w:pPr>
    </w:p>
    <w:p>
      <w:pPr>
        <w:jc w:val="center"/>
        <w:rPr>
          <w:rFonts w:ascii="宋体" w:eastAsia="宋体" w:hint="eastAsia"/>
          <w:b/>
          <w:bCs/>
          <w:color w:val="auto"/>
          <w:sz w:val="44"/>
          <w:szCs w:val="44"/>
          <w:lang w:eastAsia="zh-CN"/>
          <w:highlight w:val="auto"/>
        </w:rPr>
      </w:pPr>
      <w:r>
        <w:rPr>
          <w:rFonts w:hint="eastAsia"/>
          <w:b/>
          <w:color w:val="auto"/>
          <w:sz w:val="44"/>
          <w:szCs w:val="44"/>
          <w:lang w:eastAsia="zh-CN"/>
          <w:highlight w:val="auto"/>
        </w:rPr>
        <w:t>嘉兴海关综合技术服务中心2025年实验室仪器设备更新项目（二）</w:t>
      </w:r>
    </w:p>
    <w:p>
      <w:pPr>
        <w:adjustRightInd w:val="0"/>
        <w:snapToGrid w:val="0"/>
        <w:spacing w:line="360" w:lineRule="auto"/>
        <w:jc w:val="center"/>
        <w:rPr>
          <w:rFonts w:ascii="宋体"/>
          <w:b/>
          <w:color w:val="auto"/>
          <w:sz w:val="24"/>
          <w:u w:val="single"/>
          <w:highlight w:val="auto"/>
        </w:rPr>
      </w:pPr>
    </w:p>
    <w:p>
      <w:pPr>
        <w:adjustRightInd w:val="0"/>
        <w:snapToGrid w:val="0"/>
        <w:spacing w:line="360" w:lineRule="auto"/>
        <w:jc w:val="center"/>
        <w:rPr>
          <w:rFonts w:ascii="宋体"/>
          <w:b/>
          <w:color w:val="auto"/>
          <w:sz w:val="24"/>
          <w:u w:val="single"/>
          <w:highlight w:val="auto"/>
        </w:rPr>
      </w:pPr>
    </w:p>
    <w:p>
      <w:pPr>
        <w:adjustRightInd w:val="0"/>
        <w:snapToGrid w:val="0"/>
        <w:spacing w:line="360" w:lineRule="auto"/>
        <w:jc w:val="center"/>
        <w:rPr>
          <w:rFonts w:ascii="宋体"/>
          <w:b/>
          <w:color w:val="auto"/>
          <w:sz w:val="24"/>
          <w:u w:val="single"/>
          <w:highlight w:val="auto"/>
        </w:rPr>
      </w:pPr>
    </w:p>
    <w:p>
      <w:pPr>
        <w:adjustRightInd w:val="0"/>
        <w:snapToGrid w:val="0"/>
        <w:spacing w:after="120" w:line="360" w:lineRule="auto"/>
        <w:jc w:val="center"/>
        <w:rPr>
          <w:rFonts w:ascii="宋体"/>
          <w:b/>
          <w:color w:val="auto"/>
          <w:sz w:val="84"/>
          <w:szCs w:val="84"/>
          <w:highlight w:val="auto"/>
        </w:rPr>
      </w:pPr>
      <w:r>
        <w:rPr>
          <w:rFonts w:ascii="宋体" w:hint="eastAsia"/>
          <w:b/>
          <w:color w:val="auto"/>
          <w:sz w:val="84"/>
          <w:szCs w:val="84"/>
          <w:highlight w:val="auto"/>
        </w:rPr>
        <w:t>招标文件</w:t>
      </w:r>
    </w:p>
    <w:p>
      <w:pPr>
        <w:adjustRightInd w:val="0"/>
        <w:snapToGrid w:val="0"/>
        <w:spacing w:line="360" w:lineRule="auto"/>
        <w:jc w:val="center"/>
        <w:rPr>
          <w:rFonts w:ascii="宋体" w:eastAsia="宋体" w:hint="eastAsia"/>
          <w:b/>
          <w:bCs/>
          <w:color w:val="auto"/>
          <w:sz w:val="28"/>
          <w:szCs w:val="28"/>
          <w:lang w:eastAsia="zh-CN"/>
          <w:highlight w:val="auto"/>
        </w:rPr>
      </w:pPr>
      <w:r>
        <w:rPr>
          <w:rFonts w:ascii="宋体" w:hint="eastAsia"/>
          <w:b/>
          <w:bCs/>
          <w:color w:val="auto"/>
          <w:sz w:val="28"/>
          <w:szCs w:val="28"/>
          <w:highlight w:val="auto"/>
        </w:rPr>
        <w:t>项目编号：</w:t>
      </w:r>
      <w:r>
        <w:rPr>
          <w:rFonts w:ascii="宋体" w:hint="eastAsia"/>
          <w:b/>
          <w:bCs/>
          <w:color w:val="auto"/>
          <w:sz w:val="28"/>
          <w:szCs w:val="28"/>
          <w:lang w:eastAsia="zh-CN"/>
          <w:highlight w:val="auto"/>
        </w:rPr>
        <w:t>大地-DDZX-JX（2025）第137号</w:t>
      </w: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p>
      <w:pPr>
        <w:adjustRightInd w:val="0"/>
        <w:snapToGrid w:val="0"/>
        <w:spacing w:after="120" w:line="360" w:lineRule="auto"/>
        <w:jc w:val="center"/>
        <w:rPr>
          <w:rFonts w:ascii="宋体"/>
          <w:b/>
          <w:color w:val="auto"/>
          <w:sz w:val="24"/>
          <w:highlight w:val="auto"/>
        </w:rPr>
      </w:pP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734"/>
        <w:gridCol w:w="4698"/>
      </w:tblGrid>
      <w:tr>
        <w:trPr>
          <w:trHeight w:val="924"/>
        </w:trPr>
        <w:tc>
          <w:tcPr>
            <w:tcW w:w="2734"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采购人：</w:t>
            </w:r>
          </w:p>
        </w:tc>
        <w:tc>
          <w:tcPr>
            <w:tcW w:w="4698"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bCs/>
                <w:color w:val="auto"/>
                <w:sz w:val="32"/>
                <w:szCs w:val="32"/>
                <w:highlight w:val="auto"/>
              </w:rPr>
              <w:t>嘉兴海关综合技术服务中心</w:t>
            </w:r>
          </w:p>
        </w:tc>
      </w:tr>
      <w:tr>
        <w:trPr>
          <w:trHeight w:val="776"/>
        </w:trPr>
        <w:tc>
          <w:tcPr>
            <w:tcW w:w="2734"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采购代理机构：</w:t>
            </w:r>
          </w:p>
        </w:tc>
        <w:tc>
          <w:tcPr>
            <w:tcW w:w="4698" w:type="dxa"/>
            <w:vAlign w:val="center"/>
          </w:tcPr>
          <w:p>
            <w:pPr>
              <w:adjustRightInd w:val="0"/>
              <w:snapToGrid w:val="0"/>
              <w:spacing w:line="360" w:lineRule="auto"/>
              <w:jc w:val="distribute"/>
              <w:rPr>
                <w:rFonts w:ascii="宋体"/>
                <w:b/>
                <w:color w:val="auto"/>
                <w:sz w:val="32"/>
                <w:szCs w:val="32"/>
                <w:highlight w:val="auto"/>
              </w:rPr>
            </w:pPr>
            <w:r>
              <w:rPr>
                <w:rFonts w:ascii="宋体" w:hint="eastAsia"/>
                <w:b/>
                <w:color w:val="auto"/>
                <w:sz w:val="32"/>
                <w:szCs w:val="32"/>
                <w:highlight w:val="auto"/>
              </w:rPr>
              <w:t>大地工程咨询有限公司</w:t>
            </w:r>
          </w:p>
        </w:tc>
      </w:tr>
    </w:tbl>
    <w:p>
      <w:pPr>
        <w:adjustRightInd w:val="0"/>
        <w:snapToGrid w:val="0"/>
        <w:spacing w:after="120" w:line="360" w:lineRule="auto"/>
        <w:jc w:val="center"/>
        <w:rPr>
          <w:rFonts w:ascii="宋体"/>
          <w:b/>
          <w:color w:val="auto"/>
          <w:sz w:val="32"/>
          <w:szCs w:val="32"/>
          <w:highlight w:val="auto"/>
        </w:rPr>
      </w:pPr>
      <w:r>
        <w:rPr>
          <w:rFonts w:ascii="宋体" w:hint="eastAsia"/>
          <w:b/>
          <w:color w:val="auto"/>
          <w:sz w:val="32"/>
          <w:szCs w:val="32"/>
          <w:highlight w:val="auto"/>
        </w:rPr>
        <w:t>二〇二</w:t>
      </w:r>
      <w:r>
        <w:rPr>
          <w:rFonts w:ascii="宋体" w:hint="eastAsia"/>
          <w:b/>
          <w:color w:val="auto"/>
          <w:sz w:val="32"/>
          <w:szCs w:val="32"/>
          <w:lang w:val="en-US" w:eastAsia="zh-CN"/>
          <w:highlight w:val="auto"/>
        </w:rPr>
        <w:t>五</w:t>
      </w:r>
      <w:r>
        <w:rPr>
          <w:rFonts w:ascii="宋体" w:hint="eastAsia"/>
          <w:b/>
          <w:color w:val="auto"/>
          <w:sz w:val="32"/>
          <w:szCs w:val="32"/>
          <w:highlight w:val="auto"/>
        </w:rPr>
        <w:t>年</w:t>
      </w:r>
      <w:r>
        <w:rPr>
          <w:rFonts w:ascii="宋体" w:hint="eastAsia"/>
          <w:b/>
          <w:color w:val="auto"/>
          <w:sz w:val="32"/>
          <w:szCs w:val="32"/>
          <w:lang w:val="en-US" w:eastAsia="zh-CN"/>
          <w:highlight w:val="auto"/>
        </w:rPr>
        <w:t>九</w:t>
      </w:r>
      <w:r>
        <w:rPr>
          <w:rFonts w:ascii="宋体" w:hint="eastAsia"/>
          <w:b/>
          <w:color w:val="auto"/>
          <w:sz w:val="32"/>
          <w:szCs w:val="32"/>
          <w:highlight w:val="auto"/>
        </w:rPr>
        <w:t>月</w:t>
      </w:r>
    </w:p>
    <w:p>
      <w:pPr>
        <w:adjustRightInd w:val="0"/>
        <w:snapToGrid w:val="0"/>
        <w:spacing w:after="120" w:line="360" w:lineRule="auto"/>
        <w:jc w:val="center"/>
        <w:rPr>
          <w:rFonts w:ascii="宋体"/>
          <w:b/>
          <w:color w:val="auto"/>
          <w:sz w:val="32"/>
          <w:szCs w:val="32"/>
          <w:u w:val="single"/>
          <w:highlight w:val="auto"/>
        </w:rPr>
      </w:pPr>
    </w:p>
    <w:p>
      <w:pPr>
        <w:tabs>
          <w:tab w:val="left" w:leader="middleDot" w:pos="8190"/>
        </w:tabs>
        <w:jc w:val="center"/>
        <w:rPr>
          <w:rFonts w:ascii="宋体"/>
          <w:b/>
          <w:color w:val="auto"/>
          <w:sz w:val="28"/>
          <w:szCs w:val="28"/>
          <w:highlight w:val="auto"/>
        </w:rPr>
        <w:sectPr>
          <w:footerReference w:type="default" r:id="rId2"/>
          <w:pgSz w:w="11906" w:h="16838"/>
          <w:pgMar w:top="1588" w:right="1701" w:bottom="1588" w:left="1701" w:header="851" w:footer="992" w:gutter="0"/>
          <w:docGrid w:type="linesAndChars" w:linePitch="380" w:charSpace="0"/>
        </w:sectPr>
      </w:pPr>
    </w:p>
    <w:p>
      <w:pPr>
        <w:tabs>
          <w:tab w:val="left" w:leader="middleDot" w:pos="8190"/>
        </w:tabs>
        <w:jc w:val="center"/>
        <w:rPr>
          <w:rFonts w:ascii="宋体"/>
          <w:b/>
          <w:color w:val="auto"/>
          <w:sz w:val="28"/>
          <w:szCs w:val="28"/>
          <w:highlight w:val="auto"/>
        </w:rPr>
      </w:pPr>
      <w:r>
        <w:rPr>
          <w:rFonts w:ascii="宋体" w:hint="eastAsia"/>
          <w:b/>
          <w:color w:val="auto"/>
          <w:sz w:val="28"/>
          <w:szCs w:val="28"/>
          <w:highlight w:val="auto"/>
        </w:rPr>
        <w:t>目录</w:t>
      </w:r>
    </w:p>
    <w:p>
      <w:pPr>
        <w:pStyle w:val="35"/>
        <w:tabs>
          <w:tab w:val="right" w:leader="dot" w:pos="8504"/>
        </w:tabs>
        <w:rPr>
          <w:color w:val="auto"/>
          <w:highlight w:val="auto"/>
        </w:rPr>
      </w:pPr>
      <w:r>
        <w:rPr>
          <w:rFonts w:ascii="宋体"/>
          <w:b w:val="0"/>
          <w:color w:val="auto"/>
          <w:sz w:val="30"/>
          <w:szCs w:val="30"/>
          <w:highlight w:val="auto"/>
        </w:rPr>
        <w:fldChar w:fldCharType="begin"/>
      </w:r>
      <w:r>
        <w:rPr>
          <w:rFonts w:ascii="宋体"/>
          <w:b w:val="0"/>
          <w:color w:val="auto"/>
          <w:sz w:val="30"/>
          <w:szCs w:val="30"/>
          <w:highlight w:val="auto"/>
        </w:rPr>
        <w:instrText xml:space="preserve"> TOC \o "1-3" \h \z \u </w:instrText>
      </w:r>
      <w:r>
        <w:rPr>
          <w:rFonts w:ascii="宋体"/>
          <w:b w:val="0"/>
          <w:color w:val="auto"/>
          <w:sz w:val="30"/>
          <w:szCs w:val="30"/>
          <w:highlight w:val="auto"/>
        </w:rPr>
        <w:fldChar w:fldCharType="separate"/>
      </w:r>
      <w:r>
        <w:rPr>
          <w:color w:val="auto"/>
          <w:highlight w:val="auto"/>
        </w:rPr>
        <w:fldChar w:fldCharType="begin"/>
      </w:r>
      <w:r>
        <w:rPr>
          <w:color w:val="auto"/>
          <w:highlight w:val="auto"/>
        </w:rPr>
        <w:instrText xml:space="preserve"> HYPERLINK \l "_Toc23985" </w:instrText>
      </w:r>
      <w:r>
        <w:rPr>
          <w:color w:val="auto"/>
          <w:highlight w:val="auto"/>
        </w:rPr>
        <w:fldChar w:fldCharType="separate"/>
      </w:r>
      <w:r>
        <w:rPr>
          <w:rFonts w:ascii="宋体" w:hint="eastAsia"/>
          <w:color w:val="auto"/>
          <w:szCs w:val="32"/>
          <w:highlight w:val="auto"/>
        </w:rPr>
        <w:t>第一章</w:t>
      </w:r>
      <w:r>
        <w:rPr>
          <w:rFonts w:ascii="宋体"/>
          <w:color w:val="auto"/>
          <w:szCs w:val="32"/>
          <w:highlight w:val="auto"/>
        </w:rPr>
        <w:t xml:space="preserve">  </w:t>
      </w:r>
      <w:r>
        <w:rPr>
          <w:rFonts w:ascii="宋体" w:hint="eastAsia"/>
          <w:color w:val="auto"/>
          <w:szCs w:val="32"/>
          <w:highlight w:val="auto"/>
        </w:rPr>
        <w:t>招标公告</w:t>
      </w:r>
      <w:r>
        <w:rPr>
          <w:color w:val="auto"/>
          <w:highlight w:val="auto"/>
        </w:rPr>
        <w:tab/>
      </w:r>
      <w:r>
        <w:rPr>
          <w:color w:val="auto"/>
          <w:highlight w:val="auto"/>
        </w:rPr>
        <w:fldChar w:fldCharType="begin"/>
      </w:r>
      <w:r>
        <w:rPr>
          <w:color w:val="auto"/>
          <w:highlight w:val="auto"/>
        </w:rPr>
        <w:instrText xml:space="preserve"> PAGEREF _Toc23985 \h </w:instrText>
      </w:r>
      <w:r>
        <w:rPr>
          <w:color w:val="auto"/>
          <w:highlight w:val="auto"/>
        </w:rPr>
        <w:fldChar w:fldCharType="separate"/>
      </w:r>
      <w:r>
        <w:rPr>
          <w:color w:val="auto"/>
          <w:highlight w:val="auto"/>
        </w:rPr>
        <w:t>3</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"_Toc8396" </w:instrText>
      </w:r>
      <w:r>
        <w:rPr>
          <w:color w:val="auto"/>
          <w:highlight w:val="auto"/>
        </w:rPr>
        <w:fldChar w:fldCharType="separate"/>
      </w:r>
      <w:r>
        <w:rPr>
          <w:rFonts w:ascii="宋体" w:hint="eastAsia"/>
          <w:color w:val="auto"/>
          <w:szCs w:val="32"/>
          <w:highlight w:val="auto"/>
        </w:rPr>
        <w:t>第二章</w:t>
      </w:r>
      <w:r>
        <w:rPr>
          <w:rFonts w:ascii="宋体"/>
          <w:color w:val="auto"/>
          <w:szCs w:val="32"/>
          <w:highlight w:val="auto"/>
        </w:rPr>
        <w:t xml:space="preserve">  </w:t>
      </w:r>
      <w:r>
        <w:rPr>
          <w:rFonts w:ascii="宋体" w:hint="eastAsia"/>
          <w:color w:val="auto"/>
          <w:szCs w:val="32"/>
          <w:highlight w:val="auto"/>
        </w:rPr>
        <w:t>投标人须知</w:t>
      </w:r>
      <w:r>
        <w:rPr>
          <w:color w:val="auto"/>
          <w:highlight w:val="auto"/>
        </w:rPr>
        <w:tab/>
      </w:r>
      <w:r>
        <w:rPr>
          <w:color w:val="auto"/>
          <w:highlight w:val="auto"/>
        </w:rPr>
        <w:fldChar w:fldCharType="begin"/>
      </w:r>
      <w:r>
        <w:rPr>
          <w:color w:val="auto"/>
          <w:highlight w:val="auto"/>
        </w:rPr>
        <w:instrText xml:space="preserve"> PAGEREF _Toc8396 \h </w:instrText>
      </w:r>
      <w:r>
        <w:rPr>
          <w:color w:val="auto"/>
          <w:highlight w:val="auto"/>
        </w:rPr>
        <w:fldChar w:fldCharType="separate"/>
      </w:r>
      <w:r>
        <w:rPr>
          <w:color w:val="auto"/>
          <w:highlight w:val="auto"/>
        </w:rPr>
        <w:t>7</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"_Toc25811" </w:instrText>
      </w:r>
      <w:r>
        <w:rPr>
          <w:color w:val="auto"/>
          <w:highlight w:val="auto"/>
        </w:rPr>
        <w:fldChar w:fldCharType="separate"/>
      </w:r>
      <w:r>
        <w:rPr>
          <w:rFonts w:ascii="宋体" w:hint="eastAsia"/>
          <w:color w:val="auto"/>
          <w:szCs w:val="21"/>
          <w:highlight w:val="auto"/>
        </w:rPr>
        <w:t>投标人须知前附表</w:t>
      </w:r>
      <w:r>
        <w:rPr>
          <w:color w:val="auto"/>
          <w:highlight w:val="auto"/>
        </w:rPr>
        <w:tab/>
      </w:r>
      <w:r>
        <w:rPr>
          <w:color w:val="auto"/>
          <w:highlight w:val="auto"/>
        </w:rPr>
        <w:fldChar w:fldCharType="begin"/>
      </w:r>
      <w:r>
        <w:rPr>
          <w:color w:val="auto"/>
          <w:highlight w:val="auto"/>
        </w:rPr>
        <w:instrText xml:space="preserve"> PAGEREF _Toc25811 \h </w:instrText>
      </w:r>
      <w:r>
        <w:rPr>
          <w:color w:val="auto"/>
          <w:highlight w:val="auto"/>
        </w:rPr>
        <w:fldChar w:fldCharType="separate"/>
      </w:r>
      <w:r>
        <w:rPr>
          <w:color w:val="auto"/>
          <w:highlight w:val="auto"/>
        </w:rPr>
        <w:t>7</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"_Toc17319" </w:instrText>
      </w:r>
      <w:r>
        <w:rPr>
          <w:color w:val="auto"/>
          <w:highlight w:val="auto"/>
        </w:rPr>
        <w:fldChar w:fldCharType="separate"/>
      </w:r>
      <w:r>
        <w:rPr>
          <w:rFonts w:ascii="宋体" w:hint="eastAsia"/>
          <w:snapToGrid w:val="0"/>
          <w:color w:val="auto"/>
          <w:szCs w:val="21"/>
          <w:highlight w:val="auto"/>
        </w:rPr>
        <w:t>一、总则</w:t>
      </w:r>
      <w:r>
        <w:rPr>
          <w:color w:val="auto"/>
          <w:highlight w:val="auto"/>
        </w:rPr>
        <w:tab/>
      </w:r>
      <w:r>
        <w:rPr>
          <w:color w:val="auto"/>
          <w:highlight w:val="auto"/>
        </w:rPr>
        <w:fldChar w:fldCharType="begin"/>
      </w:r>
      <w:r>
        <w:rPr>
          <w:color w:val="auto"/>
          <w:highlight w:val="auto"/>
        </w:rPr>
        <w:instrText xml:space="preserve"> PAGEREF _Toc17319 \h </w:instrText>
      </w:r>
      <w:r>
        <w:rPr>
          <w:color w:val="auto"/>
          <w:highlight w:val="auto"/>
        </w:rPr>
        <w:fldChar w:fldCharType="separate"/>
      </w:r>
      <w:r>
        <w:rPr>
          <w:color w:val="auto"/>
          <w:highlight w:val="auto"/>
        </w:rPr>
        <w:t>12</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"_Toc28067" </w:instrText>
      </w:r>
      <w:r>
        <w:rPr>
          <w:color w:val="auto"/>
          <w:highlight w:val="auto"/>
        </w:rPr>
        <w:fldChar w:fldCharType="separate"/>
      </w:r>
      <w:r>
        <w:rPr>
          <w:rFonts w:ascii="宋体" w:hint="eastAsia"/>
          <w:snapToGrid w:val="0"/>
          <w:color w:val="auto"/>
          <w:szCs w:val="21"/>
          <w:highlight w:val="auto"/>
        </w:rPr>
        <w:t>二、采购文件</w:t>
      </w:r>
      <w:r>
        <w:rPr>
          <w:color w:val="auto"/>
          <w:highlight w:val="auto"/>
        </w:rPr>
        <w:tab/>
      </w:r>
      <w:r>
        <w:rPr>
          <w:color w:val="auto"/>
          <w:highlight w:val="auto"/>
        </w:rPr>
        <w:fldChar w:fldCharType="begin"/>
      </w:r>
      <w:r>
        <w:rPr>
          <w:color w:val="auto"/>
          <w:highlight w:val="auto"/>
        </w:rPr>
        <w:instrText xml:space="preserve"> PAGEREF _Toc28067 \h </w:instrText>
      </w:r>
      <w:r>
        <w:rPr>
          <w:color w:val="auto"/>
          <w:highlight w:val="auto"/>
        </w:rPr>
        <w:fldChar w:fldCharType="separate"/>
      </w:r>
      <w:r>
        <w:rPr>
          <w:color w:val="auto"/>
          <w:highlight w:val="auto"/>
        </w:rPr>
        <w:t>13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"_Toc1721" </w:instrText>
      </w:r>
      <w:r>
        <w:rPr>
          <w:color w:val="auto"/>
          <w:highlight w:val="auto"/>
        </w:rPr>
        <w:fldChar w:fldCharType="separate"/>
      </w:r>
      <w:r>
        <w:rPr>
          <w:rFonts w:ascii="宋体" w:hint="eastAsia"/>
          <w:snapToGrid w:val="0"/>
          <w:color w:val="auto"/>
          <w:szCs w:val="21"/>
          <w:highlight w:val="auto"/>
        </w:rPr>
        <w:t>三、投标文件的编制</w:t>
      </w:r>
      <w:r>
        <w:rPr>
          <w:color w:val="auto"/>
          <w:highlight w:val="auto"/>
        </w:rPr>
        <w:tab/>
      </w:r>
      <w:r>
        <w:rPr>
          <w:color w:val="auto"/>
          <w:highlight w:val="auto"/>
        </w:rPr>
        <w:fldChar w:fldCharType="begin"/>
      </w:r>
      <w:r>
        <w:rPr>
          <w:color w:val="auto"/>
          <w:highlight w:val="auto"/>
        </w:rPr>
        <w:instrText xml:space="preserve"> PAGEREF _Toc1721 \h </w:instrText>
      </w:r>
      <w:r>
        <w:rPr>
          <w:color w:val="auto"/>
          <w:highlight w:val="auto"/>
        </w:rPr>
        <w:fldChar w:fldCharType="separate"/>
      </w:r>
      <w:r>
        <w:rPr>
          <w:color w:val="auto"/>
          <w:highlight w:val="auto"/>
        </w:rPr>
        <w:t>14</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"_Toc30477" </w:instrText>
      </w:r>
      <w:r>
        <w:rPr>
          <w:color w:val="auto"/>
          <w:highlight w:val="auto"/>
        </w:rPr>
        <w:fldChar w:fldCharType="separate"/>
      </w:r>
      <w:r>
        <w:rPr>
          <w:rFonts w:ascii="宋体" w:hint="eastAsia"/>
          <w:snapToGrid w:val="0"/>
          <w:color w:val="auto"/>
          <w:szCs w:val="21"/>
          <w:highlight w:val="auto"/>
        </w:rPr>
        <w:t>四、投标文件的递交</w:t>
      </w:r>
      <w:r>
        <w:rPr>
          <w:color w:val="auto"/>
          <w:highlight w:val="auto"/>
        </w:rPr>
        <w:tab/>
      </w:r>
      <w:r>
        <w:rPr>
          <w:color w:val="auto"/>
          <w:highlight w:val="auto"/>
        </w:rPr>
        <w:fldChar w:fldCharType="begin"/>
      </w:r>
      <w:r>
        <w:rPr>
          <w:color w:val="auto"/>
          <w:highlight w:val="auto"/>
        </w:rPr>
        <w:instrText xml:space="preserve"> PAGEREF _Toc30477 \h </w:instrText>
      </w:r>
      <w:r>
        <w:rPr>
          <w:color w:val="auto"/>
          <w:highlight w:val="auto"/>
        </w:rPr>
        <w:fldChar w:fldCharType="separate"/>
      </w:r>
      <w:r>
        <w:rPr>
          <w:color w:val="auto"/>
          <w:highlight w:val="auto"/>
        </w:rPr>
        <w:t>18</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"_Toc12604" </w:instrText>
      </w:r>
      <w:r>
        <w:rPr>
          <w:color w:val="auto"/>
          <w:highlight w:val="auto"/>
        </w:rPr>
        <w:fldChar w:fldCharType="separate"/>
      </w:r>
      <w:r>
        <w:rPr>
          <w:rFonts w:ascii="宋体" w:hint="eastAsia"/>
          <w:snapToGrid w:val="0"/>
          <w:color w:val="auto"/>
          <w:szCs w:val="21"/>
          <w:highlight w:val="auto"/>
        </w:rPr>
        <w:t>五、开标与评标</w:t>
      </w:r>
      <w:r>
        <w:rPr>
          <w:color w:val="auto"/>
          <w:highlight w:val="auto"/>
        </w:rPr>
        <w:tab/>
      </w:r>
      <w:r>
        <w:rPr>
          <w:color w:val="auto"/>
          <w:highlight w:val="auto"/>
        </w:rPr>
        <w:fldChar w:fldCharType="begin"/>
      </w:r>
      <w:r>
        <w:rPr>
          <w:color w:val="auto"/>
          <w:highlight w:val="auto"/>
        </w:rPr>
        <w:instrText xml:space="preserve"> PAGEREF _Toc12604 \h </w:instrText>
      </w:r>
      <w:r>
        <w:rPr>
          <w:color w:val="auto"/>
          <w:highlight w:val="auto"/>
        </w:rPr>
        <w:fldChar w:fldCharType="separate"/>
      </w:r>
      <w:r>
        <w:rPr>
          <w:color w:val="auto"/>
          <w:highlight w:val="auto"/>
        </w:rPr>
        <w:t>20</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"_Toc26460" </w:instrText>
      </w:r>
      <w:r>
        <w:rPr>
          <w:color w:val="auto"/>
          <w:highlight w:val="auto"/>
        </w:rPr>
        <w:fldChar w:fldCharType="separate"/>
      </w:r>
      <w:r>
        <w:rPr>
          <w:rFonts w:ascii="宋体" w:hint="eastAsia"/>
          <w:snapToGrid w:val="0"/>
          <w:color w:val="auto"/>
          <w:szCs w:val="21"/>
          <w:highlight w:val="auto"/>
        </w:rPr>
        <w:t>六、确定中标人及授予合同</w:t>
      </w:r>
      <w:r>
        <w:rPr>
          <w:color w:val="auto"/>
          <w:highlight w:val="auto"/>
        </w:rPr>
        <w:tab/>
      </w:r>
      <w:r>
        <w:rPr>
          <w:color w:val="auto"/>
          <w:highlight w:val="auto"/>
        </w:rPr>
        <w:fldChar w:fldCharType="begin"/>
      </w:r>
      <w:r>
        <w:rPr>
          <w:color w:val="auto"/>
          <w:highlight w:val="auto"/>
        </w:rPr>
        <w:instrText xml:space="preserve"> PAGEREF _Toc26460 \h </w:instrText>
      </w:r>
      <w:r>
        <w:rPr>
          <w:color w:val="auto"/>
          <w:highlight w:val="auto"/>
        </w:rPr>
        <w:fldChar w:fldCharType="separate"/>
      </w:r>
      <w:r>
        <w:rPr>
          <w:color w:val="auto"/>
          <w:highlight w:val="auto"/>
        </w:rPr>
        <w:t>22</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"_Toc17509" </w:instrText>
      </w:r>
      <w:r>
        <w:rPr>
          <w:color w:val="auto"/>
          <w:highlight w:val="auto"/>
        </w:rPr>
        <w:fldChar w:fldCharType="separate"/>
      </w:r>
      <w:r>
        <w:rPr>
          <w:rFonts w:ascii="宋体" w:hint="eastAsia"/>
          <w:color w:val="auto"/>
          <w:szCs w:val="32"/>
          <w:highlight w:val="auto"/>
        </w:rPr>
        <w:t>第三章</w:t>
      </w:r>
      <w:r>
        <w:rPr>
          <w:rFonts w:ascii="宋体"/>
          <w:color w:val="auto"/>
          <w:szCs w:val="32"/>
          <w:highlight w:val="auto"/>
        </w:rPr>
        <w:t xml:space="preserve">  </w:t>
      </w:r>
      <w:r>
        <w:rPr>
          <w:rFonts w:ascii="宋体" w:hint="eastAsia"/>
          <w:color w:val="auto"/>
          <w:szCs w:val="32"/>
          <w:highlight w:val="auto"/>
        </w:rPr>
        <w:t>采购合同</w:t>
      </w:r>
      <w:r>
        <w:rPr>
          <w:color w:val="auto"/>
          <w:highlight w:val="auto"/>
        </w:rPr>
        <w:tab/>
      </w:r>
      <w:r>
        <w:rPr>
          <w:color w:val="auto"/>
          <w:highlight w:val="auto"/>
        </w:rPr>
        <w:fldChar w:fldCharType="begin"/>
      </w:r>
      <w:r>
        <w:rPr>
          <w:color w:val="auto"/>
          <w:highlight w:val="auto"/>
        </w:rPr>
        <w:instrText xml:space="preserve"> PAGEREF _Toc17509 \h </w:instrText>
      </w:r>
      <w:r>
        <w:rPr>
          <w:color w:val="auto"/>
          <w:highlight w:val="auto"/>
        </w:rPr>
        <w:fldChar w:fldCharType="separate"/>
      </w:r>
      <w:r>
        <w:rPr>
          <w:color w:val="auto"/>
          <w:highlight w:val="auto"/>
        </w:rPr>
        <w:t>26</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"_Toc25938" </w:instrText>
      </w:r>
      <w:r>
        <w:rPr>
          <w:color w:val="auto"/>
          <w:highlight w:val="auto"/>
        </w:rPr>
        <w:fldChar w:fldCharType="separate"/>
      </w:r>
      <w:r>
        <w:rPr>
          <w:rFonts w:ascii="宋体" w:hint="eastAsia"/>
          <w:color w:val="auto"/>
          <w:szCs w:val="32"/>
          <w:highlight w:val="auto"/>
        </w:rPr>
        <w:t>第四章</w:t>
      </w:r>
      <w:r>
        <w:rPr>
          <w:rFonts w:ascii="宋体"/>
          <w:color w:val="auto"/>
          <w:szCs w:val="32"/>
          <w:highlight w:val="auto"/>
        </w:rPr>
        <w:t xml:space="preserve">  </w:t>
      </w:r>
      <w:r>
        <w:rPr>
          <w:rFonts w:ascii="宋体" w:hint="eastAsia"/>
          <w:color w:val="auto"/>
          <w:szCs w:val="32"/>
          <w:lang w:eastAsia="zh-CN"/>
          <w:highlight w:val="auto"/>
        </w:rPr>
        <w:t>采购需求</w:t>
      </w:r>
      <w:r>
        <w:rPr>
          <w:color w:val="auto"/>
          <w:highlight w:val="auto"/>
        </w:rPr>
        <w:tab/>
      </w:r>
      <w:r>
        <w:rPr>
          <w:color w:val="auto"/>
          <w:highlight w:val="auto"/>
        </w:rPr>
        <w:fldChar w:fldCharType="begin"/>
      </w:r>
      <w:r>
        <w:rPr>
          <w:color w:val="auto"/>
          <w:highlight w:val="auto"/>
        </w:rPr>
        <w:instrText xml:space="preserve"> PAGEREF _Toc25938 \h </w:instrText>
      </w:r>
      <w:r>
        <w:rPr>
          <w:color w:val="auto"/>
          <w:highlight w:val="auto"/>
        </w:rPr>
        <w:fldChar w:fldCharType="separate"/>
      </w:r>
      <w:r>
        <w:rPr>
          <w:color w:val="auto"/>
          <w:highlight w:val="auto"/>
        </w:rPr>
        <w:t>33</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"_Toc21552" </w:instrText>
      </w:r>
      <w:r>
        <w:rPr>
          <w:color w:val="auto"/>
          <w:highlight w:val="auto"/>
        </w:rPr>
        <w:fldChar w:fldCharType="separate"/>
      </w:r>
      <w:r>
        <w:rPr>
          <w:rFonts w:ascii="宋体" w:hint="eastAsia"/>
          <w:color w:val="auto"/>
          <w:szCs w:val="32"/>
          <w:highlight w:val="auto"/>
        </w:rPr>
        <w:t>第五章</w:t>
      </w:r>
      <w:r>
        <w:rPr>
          <w:rFonts w:ascii="宋体"/>
          <w:color w:val="auto"/>
          <w:szCs w:val="32"/>
          <w:highlight w:val="auto"/>
        </w:rPr>
        <w:t xml:space="preserve">  </w:t>
      </w:r>
      <w:r>
        <w:rPr>
          <w:rFonts w:ascii="宋体" w:hint="eastAsia"/>
          <w:color w:val="auto"/>
          <w:szCs w:val="32"/>
          <w:highlight w:val="auto"/>
        </w:rPr>
        <w:t>评标办法</w:t>
      </w:r>
      <w:r>
        <w:rPr>
          <w:color w:val="auto"/>
          <w:highlight w:val="auto"/>
        </w:rPr>
        <w:tab/>
      </w:r>
      <w:r>
        <w:rPr>
          <w:color w:val="auto"/>
          <w:highlight w:val="auto"/>
        </w:rPr>
        <w:fldChar w:fldCharType="begin"/>
      </w:r>
      <w:r>
        <w:rPr>
          <w:color w:val="auto"/>
          <w:highlight w:val="auto"/>
        </w:rPr>
        <w:instrText xml:space="preserve"> PAGEREF _Toc21552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"_Toc8998" </w:instrText>
      </w:r>
      <w:r>
        <w:rPr>
          <w:color w:val="auto"/>
          <w:highlight w:val="auto"/>
        </w:rPr>
        <w:fldChar w:fldCharType="separate"/>
      </w:r>
      <w:r>
        <w:rPr>
          <w:rFonts w:ascii="宋体" w:cs="宋体" w:hint="eastAsia"/>
          <w:snapToGrid w:val="0"/>
          <w:color w:val="auto"/>
          <w:szCs w:val="21"/>
          <w:highlight w:val="auto"/>
        </w:rPr>
        <w:t>一、总则</w:t>
      </w:r>
      <w:r>
        <w:rPr>
          <w:color w:val="auto"/>
          <w:highlight w:val="auto"/>
        </w:rPr>
        <w:tab/>
      </w:r>
      <w:r>
        <w:rPr>
          <w:color w:val="auto"/>
          <w:highlight w:val="auto"/>
        </w:rPr>
        <w:fldChar w:fldCharType="begin"/>
      </w:r>
      <w:r>
        <w:rPr>
          <w:color w:val="auto"/>
          <w:highlight w:val="auto"/>
        </w:rPr>
        <w:instrText xml:space="preserve"> PAGEREF _Toc8998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"_Toc6463" </w:instrText>
      </w:r>
      <w:r>
        <w:rPr>
          <w:color w:val="auto"/>
          <w:highlight w:val="auto"/>
        </w:rPr>
        <w:fldChar w:fldCharType="separate"/>
      </w:r>
      <w:r>
        <w:rPr>
          <w:rFonts w:ascii="宋体" w:cs="宋体" w:hint="eastAsia"/>
          <w:snapToGrid w:val="0"/>
          <w:color w:val="auto"/>
          <w:szCs w:val="21"/>
          <w:highlight w:val="auto"/>
        </w:rPr>
        <w:t>二、评标组织</w:t>
      </w:r>
      <w:r>
        <w:rPr>
          <w:color w:val="auto"/>
          <w:highlight w:val="auto"/>
        </w:rPr>
        <w:tab/>
      </w:r>
      <w:r>
        <w:rPr>
          <w:color w:val="auto"/>
          <w:highlight w:val="auto"/>
        </w:rPr>
        <w:fldChar w:fldCharType="begin"/>
      </w:r>
      <w:r>
        <w:rPr>
          <w:color w:val="auto"/>
          <w:highlight w:val="auto"/>
        </w:rPr>
        <w:instrText xml:space="preserve"> PAGEREF _Toc6463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"_Toc11508" </w:instrText>
      </w:r>
      <w:r>
        <w:rPr>
          <w:color w:val="auto"/>
          <w:highlight w:val="auto"/>
        </w:rPr>
        <w:fldChar w:fldCharType="separate"/>
      </w:r>
      <w:r>
        <w:rPr>
          <w:rFonts w:ascii="宋体" w:cs="宋体" w:hint="eastAsia"/>
          <w:snapToGrid w:val="0"/>
          <w:color w:val="auto"/>
          <w:szCs w:val="21"/>
          <w:highlight w:val="auto"/>
        </w:rPr>
        <w:t>三、评标纪律</w:t>
      </w:r>
      <w:r>
        <w:rPr>
          <w:color w:val="auto"/>
          <w:highlight w:val="auto"/>
        </w:rPr>
        <w:tab/>
      </w:r>
      <w:r>
        <w:rPr>
          <w:color w:val="auto"/>
          <w:highlight w:val="auto"/>
        </w:rPr>
        <w:fldChar w:fldCharType="begin"/>
      </w:r>
      <w:r>
        <w:rPr>
          <w:color w:val="auto"/>
          <w:highlight w:val="auto"/>
        </w:rPr>
        <w:instrText xml:space="preserve"> PAGEREF _Toc11508 \h </w:instrText>
      </w:r>
      <w:r>
        <w:rPr>
          <w:color w:val="auto"/>
          <w:highlight w:val="auto"/>
        </w:rPr>
        <w:fldChar w:fldCharType="separate"/>
      </w:r>
      <w:r>
        <w:rPr>
          <w:color w:val="auto"/>
          <w:highlight w:val="auto"/>
        </w:rPr>
        <w:t>63</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"_Toc29447" </w:instrText>
      </w:r>
      <w:r>
        <w:rPr>
          <w:color w:val="auto"/>
          <w:highlight w:val="auto"/>
        </w:rPr>
        <w:fldChar w:fldCharType="separate"/>
      </w:r>
      <w:r>
        <w:rPr>
          <w:rFonts w:ascii="宋体" w:cs="宋体" w:hint="eastAsia"/>
          <w:snapToGrid w:val="0"/>
          <w:color w:val="auto"/>
          <w:szCs w:val="21"/>
          <w:highlight w:val="auto"/>
        </w:rPr>
        <w:t>四、评标程序</w:t>
      </w:r>
      <w:r>
        <w:rPr>
          <w:color w:val="auto"/>
          <w:highlight w:val="auto"/>
        </w:rPr>
        <w:tab/>
      </w:r>
      <w:r>
        <w:rPr>
          <w:color w:val="auto"/>
          <w:highlight w:val="auto"/>
        </w:rPr>
        <w:fldChar w:fldCharType="begin"/>
      </w:r>
      <w:r>
        <w:rPr>
          <w:color w:val="auto"/>
          <w:highlight w:val="auto"/>
        </w:rPr>
        <w:instrText xml:space="preserve"> PAGEREF _Toc29447 \h </w:instrText>
      </w:r>
      <w:r>
        <w:rPr>
          <w:color w:val="auto"/>
          <w:highlight w:val="auto"/>
        </w:rPr>
        <w:fldChar w:fldCharType="separate"/>
      </w:r>
      <w:r>
        <w:rPr>
          <w:color w:val="auto"/>
          <w:highlight w:val="auto"/>
        </w:rPr>
        <w:t>64</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r>
        <w:rPr>
          <w:color w:val="auto"/>
          <w:highlight w:val="auto"/>
        </w:rPr>
        <w:fldChar w:fldCharType="begin"/>
      </w:r>
      <w:r>
        <w:rPr>
          <w:color w:val="auto"/>
          <w:highlight w:val="auto"/>
        </w:rPr>
        <w:instrText xml:space="preserve"> HYPERLINK \l "_Toc13224" </w:instrText>
      </w:r>
      <w:r>
        <w:rPr>
          <w:color w:val="auto"/>
          <w:highlight w:val="auto"/>
        </w:rPr>
        <w:fldChar w:fldCharType="separate"/>
      </w:r>
      <w:r>
        <w:rPr>
          <w:rFonts w:ascii="宋体" w:cs="宋体" w:hint="eastAsia"/>
          <w:snapToGrid w:val="0"/>
          <w:color w:val="auto"/>
          <w:szCs w:val="21"/>
          <w:highlight w:val="auto"/>
        </w:rPr>
        <w:t>五、评标细则及标准</w:t>
      </w:r>
      <w:r>
        <w:rPr>
          <w:color w:val="auto"/>
          <w:highlight w:val="auto"/>
        </w:rPr>
        <w:tab/>
      </w:r>
      <w:r>
        <w:rPr>
          <w:color w:val="auto"/>
          <w:highlight w:val="auto"/>
        </w:rPr>
        <w:fldChar w:fldCharType="begin"/>
      </w:r>
      <w:r>
        <w:rPr>
          <w:color w:val="auto"/>
          <w:highlight w:val="auto"/>
        </w:rPr>
        <w:instrText xml:space="preserve"> PAGEREF _Toc13224 \h </w:instrText>
      </w:r>
      <w:r>
        <w:rPr>
          <w:color w:val="auto"/>
          <w:highlight w:val="auto"/>
        </w:rPr>
        <w:fldChar w:fldCharType="separate"/>
      </w:r>
      <w:r>
        <w:rPr>
          <w:color w:val="auto"/>
          <w:highlight w:val="auto"/>
        </w:rPr>
        <w:t>65</w:t>
      </w:r>
      <w:r>
        <w:rPr>
          <w:color w:val="auto"/>
          <w:highlight w:val="auto"/>
        </w:rPr>
        <w:fldChar w:fldCharType="end"/>
      </w:r>
      <w:r>
        <w:rPr>
          <w:color w:val="auto"/>
          <w:highlight w:val="auto"/>
        </w:rPr>
        <w:fldChar w:fldCharType="end"/>
      </w:r>
    </w:p>
    <w:p>
      <w:pPr>
        <w:pStyle w:val="35"/>
        <w:tabs>
          <w:tab w:val="right" w:leader="dot" w:pos="8504"/>
        </w:tabs>
        <w:rPr>
          <w:color w:val="auto"/>
          <w:highlight w:val="auto"/>
        </w:rPr>
      </w:pPr>
      <w:r>
        <w:rPr>
          <w:color w:val="auto"/>
          <w:highlight w:val="auto"/>
        </w:rPr>
        <w:fldChar w:fldCharType="begin"/>
      </w:r>
      <w:r>
        <w:rPr>
          <w:color w:val="auto"/>
          <w:highlight w:val="auto"/>
        </w:rPr>
        <w:instrText xml:space="preserve"> HYPERLINK \l "_Toc13806" </w:instrText>
      </w:r>
      <w:r>
        <w:rPr>
          <w:color w:val="auto"/>
          <w:highlight w:val="auto"/>
        </w:rPr>
        <w:fldChar w:fldCharType="separate"/>
      </w:r>
      <w:r>
        <w:rPr>
          <w:rFonts w:ascii="宋体" w:hint="eastAsia"/>
          <w:color w:val="auto"/>
          <w:szCs w:val="32"/>
          <w:highlight w:val="auto"/>
        </w:rPr>
        <w:t>第六章</w:t>
      </w:r>
      <w:r>
        <w:rPr>
          <w:rFonts w:ascii="宋体"/>
          <w:color w:val="auto"/>
          <w:szCs w:val="32"/>
          <w:highlight w:val="auto"/>
        </w:rPr>
        <w:t xml:space="preserve">  </w:t>
      </w:r>
      <w:r>
        <w:rPr>
          <w:rFonts w:ascii="宋体" w:hint="eastAsia"/>
          <w:color w:val="auto"/>
          <w:szCs w:val="32"/>
          <w:highlight w:val="auto"/>
        </w:rPr>
        <w:t>投标文件格式</w:t>
      </w:r>
      <w:r>
        <w:rPr>
          <w:color w:val="auto"/>
          <w:highlight w:val="auto"/>
        </w:rPr>
        <w:tab/>
      </w:r>
      <w:r>
        <w:rPr>
          <w:color w:val="auto"/>
          <w:highlight w:val="auto"/>
        </w:rPr>
        <w:fldChar w:fldCharType="begin"/>
      </w:r>
      <w:r>
        <w:rPr>
          <w:color w:val="auto"/>
          <w:highlight w:val="auto"/>
        </w:rPr>
        <w:instrText xml:space="preserve"> PAGEREF _Toc13806 \h </w:instrText>
      </w:r>
      <w:r>
        <w:rPr>
          <w:color w:val="auto"/>
          <w:highlight w:val="auto"/>
        </w:rPr>
        <w:fldChar w:fldCharType="separate"/>
      </w:r>
      <w:r>
        <w:rPr>
          <w:color w:val="auto"/>
          <w:highlight w:val="auto"/>
        </w:rPr>
        <w:t>74</w:t>
      </w:r>
      <w:r>
        <w:rPr>
          <w:color w:val="auto"/>
          <w:highlight w:val="auto"/>
        </w:rPr>
        <w:fldChar w:fldCharType="end"/>
      </w:r>
      <w:r>
        <w:rPr>
          <w:color w:val="auto"/>
          <w:highlight w:val="auto"/>
        </w:rPr>
        <w:fldChar w:fldCharType="end"/>
      </w:r>
    </w:p>
    <w:p>
      <w:pPr>
        <w:pStyle w:val="41"/>
        <w:tabs>
          <w:tab w:val="right" w:leader="dot" w:pos="8504"/>
        </w:tabs>
        <w:rPr>
          <w:color w:val="auto"/>
          <w:highlight w:val="auto"/>
        </w:rPr>
      </w:pPr>
    </w:p>
    <w:p>
      <w:pPr>
        <w:tabs>
          <w:tab w:val="left" w:leader="middleDot" w:pos="8190"/>
        </w:tabs>
        <w:spacing w:line="360" w:lineRule="auto"/>
        <w:jc w:val="center"/>
        <w:rPr>
          <w:rFonts w:ascii="宋体"/>
          <w:b/>
          <w:color w:val="auto"/>
          <w:sz w:val="30"/>
          <w:szCs w:val="30"/>
          <w:highlight w:val="auto"/>
        </w:rPr>
      </w:pPr>
      <w:r>
        <w:rPr>
          <w:rFonts w:ascii="宋体"/>
          <w:color w:val="auto"/>
          <w:szCs w:val="30"/>
          <w:highlight w:val="auto"/>
        </w:rPr>
        <w:fldChar w:fldCharType="end"/>
      </w:r>
      <w:r>
        <w:rPr>
          <w:rFonts w:ascii="宋体"/>
          <w:b/>
          <w:color w:val="auto"/>
          <w:sz w:val="30"/>
          <w:szCs w:val="30"/>
          <w:highlight w:val="auto"/>
        </w:rPr>
        <w:t xml:space="preserve"> </w:t>
      </w: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1" w:name="_Toc107822481"/>
      <w:bookmarkStart w:id="2" w:name="_Toc226969274"/>
      <w:bookmarkStart w:id="3" w:name="_Toc227057881"/>
    </w:p>
    <w:p>
      <w:pPr>
        <w:adjustRightInd w:val="0"/>
        <w:snapToGrid w:val="0"/>
        <w:spacing w:beforeLines="50" w:before="190" w:afterLines="50" w:after="190" w:line="360" w:lineRule="auto"/>
        <w:jc w:val="center"/>
        <w:outlineLvl w:val="0"/>
        <w:rPr>
          <w:rFonts w:ascii="宋体"/>
          <w:b/>
          <w:color w:val="auto"/>
          <w:sz w:val="32"/>
          <w:szCs w:val="32"/>
          <w:highlight w:val="auto"/>
        </w:rPr>
        <w:sectPr>
          <w:pgSz w:w="11906" w:h="16838"/>
          <w:pgMar w:top="1588" w:right="1701" w:bottom="1588" w:left="1701" w:header="851" w:footer="992" w:gutter="0"/>
          <w:docGrid w:type="linesAndChars" w:linePitch="380" w:charSpace="0"/>
        </w:sectPr>
      </w:pPr>
    </w:p>
    <w:p>
      <w:pPr>
        <w:adjustRightInd w:val="0"/>
        <w:snapToGrid w:val="0"/>
        <w:spacing w:beforeLines="50" w:before="190" w:afterLines="50" w:after="190" w:line="360" w:lineRule="auto"/>
        <w:jc w:val="center"/>
        <w:outlineLvl w:val="0"/>
        <w:rPr>
          <w:rFonts w:ascii="宋体"/>
          <w:b/>
          <w:color w:val="auto"/>
          <w:sz w:val="32"/>
          <w:szCs w:val="32"/>
          <w:highlight w:val="auto"/>
        </w:rPr>
      </w:pP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4" w:name="_Toc60757518"/>
      <w:bookmarkStart w:id="5" w:name="_Toc23985"/>
      <w:r>
        <w:rPr>
          <w:rFonts w:ascii="宋体" w:hint="eastAsia"/>
          <w:b/>
          <w:color w:val="auto"/>
          <w:sz w:val="32"/>
          <w:szCs w:val="32"/>
          <w:highlight w:val="auto"/>
        </w:rPr>
        <w:t>第一章</w:t>
      </w:r>
      <w:r>
        <w:rPr>
          <w:rFonts w:ascii="宋体"/>
          <w:b/>
          <w:color w:val="auto"/>
          <w:sz w:val="32"/>
          <w:szCs w:val="32"/>
          <w:highlight w:val="auto"/>
        </w:rPr>
        <w:t xml:space="preserve">  </w:t>
      </w:r>
      <w:r>
        <w:rPr>
          <w:rFonts w:ascii="宋体" w:hint="eastAsia"/>
          <w:b/>
          <w:color w:val="auto"/>
          <w:sz w:val="32"/>
          <w:szCs w:val="32"/>
          <w:highlight w:val="auto"/>
        </w:rPr>
        <w:t>招标公告</w:t>
      </w:r>
      <w:bookmarkEnd w:id="1"/>
      <w:bookmarkEnd w:id="4"/>
      <w:bookmarkEnd w:id="5"/>
    </w:p>
    <w:p>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color w:val="auto"/>
          <w:szCs w:val="21"/>
          <w:highlight w:val="auto"/>
        </w:rPr>
      </w:pPr>
      <w:bookmarkEnd w:id="2"/>
      <w:bookmarkEnd w:id="3"/>
      <w:r>
        <w:rPr>
          <w:rFonts w:ascii="宋体" w:hint="eastAsia"/>
          <w:color w:val="auto"/>
          <w:szCs w:val="21"/>
          <w:highlight w:val="auto"/>
        </w:rPr>
        <w:t>项目概况</w:t>
      </w:r>
    </w:p>
    <w:p>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color w:val="auto"/>
          <w:szCs w:val="21"/>
          <w:highlight w:val="auto"/>
        </w:rPr>
      </w:pPr>
      <w:r>
        <w:rPr>
          <w:rFonts w:ascii="宋体" w:hint="eastAsia"/>
          <w:color w:val="auto"/>
          <w:szCs w:val="21"/>
          <w:u w:val="single"/>
          <w:lang w:eastAsia="zh-CN"/>
          <w:highlight w:val="auto"/>
        </w:rPr>
        <w:t>嘉兴海关综合技术服务中心2025年实验室仪器设备更新项目（二）</w:t>
      </w:r>
      <w:r>
        <w:rPr>
          <w:rFonts w:ascii="宋体" w:hint="eastAsia"/>
          <w:color w:val="auto"/>
          <w:szCs w:val="21"/>
          <w:highlight w:val="auto"/>
        </w:rPr>
        <w:t>的潜在供应商应在</w:t>
      </w:r>
      <w:r>
        <w:rPr>
          <w:rFonts w:ascii="宋体" w:hint="eastAsia"/>
          <w:color w:val="auto"/>
          <w:szCs w:val="21"/>
          <w:u w:val="single"/>
          <w:highlight w:val="auto"/>
        </w:rPr>
        <w:t>大地工程咨询有限公司（嘉兴市秀洲区洪波路1200号万豪广场12楼1204室）</w:t>
      </w:r>
      <w:r>
        <w:rPr>
          <w:rFonts w:ascii="宋体" w:hint="eastAsia"/>
          <w:color w:val="auto"/>
          <w:szCs w:val="21"/>
          <w:highlight w:val="auto"/>
        </w:rPr>
        <w:t>获取采购文件，并于</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10</w:t>
      </w:r>
      <w:r>
        <w:rPr>
          <w:rFonts w:ascii="宋体" w:hint="eastAsia"/>
          <w:color w:val="auto"/>
          <w:szCs w:val="21"/>
          <w:u w:val="single"/>
          <w:highlight w:val="auto"/>
        </w:rPr>
        <w:t>月</w:t>
      </w:r>
      <w:r>
        <w:rPr>
          <w:rFonts w:ascii="宋体" w:hint="eastAsia"/>
          <w:color w:val="auto"/>
          <w:szCs w:val="21"/>
          <w:u w:val="single"/>
          <w:lang w:val="en-US" w:eastAsia="zh-CN"/>
          <w:highlight w:val="auto"/>
        </w:rPr>
        <w:t>22</w:t>
      </w:r>
      <w:r>
        <w:rPr>
          <w:rFonts w:ascii="宋体" w:hint="eastAsia"/>
          <w:color w:val="auto"/>
          <w:szCs w:val="21"/>
          <w:u w:val="single"/>
          <w:highlight w:val="auto"/>
        </w:rPr>
        <w:t>日</w:t>
      </w:r>
      <w:r>
        <w:rPr>
          <w:rFonts w:ascii="宋体" w:hint="eastAsia"/>
          <w:color w:val="auto"/>
          <w:szCs w:val="21"/>
          <w:u w:val="single"/>
          <w:lang w:val="en-US" w:eastAsia="zh-CN"/>
          <w:highlight w:val="auto"/>
        </w:rPr>
        <w:t>09</w:t>
      </w:r>
      <w:r>
        <w:rPr>
          <w:rFonts w:ascii="宋体" w:hint="eastAsia"/>
          <w:color w:val="auto"/>
          <w:szCs w:val="21"/>
          <w:u w:val="single"/>
          <w:highlight w:val="auto"/>
        </w:rPr>
        <w:t>点</w:t>
      </w:r>
      <w:r>
        <w:rPr>
          <w:rFonts w:ascii="宋体" w:hint="eastAsia"/>
          <w:color w:val="auto"/>
          <w:szCs w:val="21"/>
          <w:u w:val="single"/>
          <w:lang w:val="en-US" w:eastAsia="zh-CN"/>
          <w:highlight w:val="auto"/>
        </w:rPr>
        <w:t>3</w:t>
      </w:r>
      <w:r>
        <w:rPr>
          <w:rFonts w:ascii="宋体" w:hint="eastAsia"/>
          <w:color w:val="auto"/>
          <w:szCs w:val="21"/>
          <w:u w:val="single"/>
          <w:highlight w:val="auto"/>
        </w:rPr>
        <w:t>0分</w:t>
      </w:r>
      <w:r>
        <w:rPr>
          <w:rFonts w:ascii="宋体" w:hint="eastAsia"/>
          <w:color w:val="auto"/>
          <w:szCs w:val="21"/>
          <w:highlight w:val="auto"/>
        </w:rPr>
        <w:t>（北京时间）前提交投标文件。</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一、项目基本情况</w:t>
      </w:r>
    </w:p>
    <w:p>
      <w:pPr>
        <w:widowControl/>
        <w:spacing w:line="360" w:lineRule="auto"/>
        <w:ind w:firstLineChars="200" w:firstLine="420"/>
        <w:jc w:val="left"/>
        <w:rPr>
          <w:rFonts w:ascii="宋体" w:eastAsia="宋体" w:cs="宋体" w:hint="eastAsia"/>
          <w:color w:val="auto"/>
          <w:kern w:val="0"/>
          <w:szCs w:val="21"/>
          <w:lang w:eastAsia="zh-CN"/>
          <w:highlight w:val="auto"/>
        </w:rPr>
      </w:pPr>
      <w:r>
        <w:rPr>
          <w:rFonts w:ascii="宋体" w:cs="宋体"/>
          <w:color w:val="auto"/>
          <w:kern w:val="0"/>
          <w:szCs w:val="21"/>
          <w:highlight w:val="auto"/>
        </w:rPr>
        <w:t>1.</w:t>
      </w:r>
      <w:r>
        <w:rPr>
          <w:rFonts w:ascii="宋体" w:cs="宋体" w:hint="eastAsia"/>
          <w:color w:val="auto"/>
          <w:kern w:val="0"/>
          <w:szCs w:val="21"/>
          <w:highlight w:val="auto"/>
        </w:rPr>
        <w:t>项目编号：</w:t>
      </w:r>
      <w:r>
        <w:rPr>
          <w:rFonts w:ascii="宋体" w:cs="宋体" w:hint="eastAsia"/>
          <w:color w:val="auto"/>
          <w:kern w:val="0"/>
          <w:szCs w:val="21"/>
          <w:lang w:eastAsia="zh-CN"/>
          <w:highlight w:val="auto"/>
        </w:rPr>
        <w:t>大地-DDZX-JX（2025）第137号</w:t>
      </w:r>
    </w:p>
    <w:p>
      <w:pPr>
        <w:widowControl/>
        <w:spacing w:line="360" w:lineRule="auto"/>
        <w:ind w:firstLineChars="200" w:firstLine="420"/>
        <w:jc w:val="left"/>
        <w:rPr>
          <w:rFonts w:ascii="宋体" w:eastAsia="宋体" w:hint="eastAsia"/>
          <w:color w:val="auto"/>
          <w:szCs w:val="21"/>
          <w:lang w:eastAsia="zh-CN"/>
          <w:highlight w:val="auto"/>
        </w:rPr>
      </w:pPr>
      <w:r>
        <w:rPr>
          <w:rFonts w:ascii="宋体" w:cs="宋体"/>
          <w:color w:val="auto"/>
          <w:kern w:val="0"/>
          <w:szCs w:val="21"/>
          <w:highlight w:val="auto"/>
        </w:rPr>
        <w:t>2.</w:t>
      </w:r>
      <w:r>
        <w:rPr>
          <w:rFonts w:ascii="宋体" w:cs="宋体" w:hint="eastAsia"/>
          <w:color w:val="auto"/>
          <w:kern w:val="0"/>
          <w:szCs w:val="21"/>
          <w:highlight w:val="auto"/>
        </w:rPr>
        <w:t>项目名称：</w:t>
      </w:r>
      <w:r>
        <w:rPr>
          <w:rFonts w:ascii="宋体" w:hint="eastAsia"/>
          <w:color w:val="auto"/>
          <w:szCs w:val="21"/>
          <w:lang w:eastAsia="zh-CN"/>
          <w:highlight w:val="auto"/>
        </w:rPr>
        <w:t>嘉兴海关综合技术服务中心2025年实验室仪器设备更新项目（二）</w:t>
      </w:r>
    </w:p>
    <w:p>
      <w:pPr>
        <w:widowControl/>
        <w:spacing w:line="360" w:lineRule="auto"/>
        <w:ind w:firstLineChars="200" w:firstLine="420"/>
        <w:jc w:val="left"/>
        <w:rPr>
          <w:rFonts w:ascii="宋体" w:cs="宋体"/>
          <w:color w:val="auto"/>
          <w:kern w:val="0"/>
          <w:szCs w:val="21"/>
          <w:highlight w:val="auto"/>
        </w:rPr>
      </w:pPr>
      <w:r>
        <w:rPr>
          <w:rFonts w:ascii="宋体" w:cs="宋体"/>
          <w:color w:val="auto"/>
          <w:kern w:val="0"/>
          <w:szCs w:val="21"/>
          <w:highlight w:val="auto"/>
        </w:rPr>
        <w:t>3.</w:t>
      </w:r>
      <w:r>
        <w:rPr>
          <w:rFonts w:ascii="宋体" w:cs="宋体" w:hint="eastAsia"/>
          <w:color w:val="auto"/>
          <w:kern w:val="0"/>
          <w:szCs w:val="21"/>
          <w:highlight w:val="auto"/>
        </w:rPr>
        <w:t>预算金额：</w:t>
      </w:r>
      <w:r>
        <w:rPr>
          <w:rFonts w:ascii="宋体" w:hint="eastAsia"/>
          <w:snapToGrid w:val="0"/>
          <w:color w:val="auto"/>
          <w:kern w:val="0"/>
          <w:szCs w:val="21"/>
          <w:lang w:eastAsia="zh-CN"/>
          <w:highlight w:val="auto"/>
        </w:rPr>
        <w:t>82.0000</w:t>
      </w:r>
      <w:r>
        <w:rPr>
          <w:rFonts w:ascii="宋体" w:cs="宋体" w:hint="eastAsia"/>
          <w:color w:val="auto"/>
          <w:kern w:val="0"/>
          <w:szCs w:val="21"/>
          <w:highlight w:val="auto"/>
        </w:rPr>
        <w:t>万元（人民币）</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4.最高限价：</w:t>
      </w:r>
      <w:r>
        <w:rPr>
          <w:rFonts w:ascii="宋体" w:cs="宋体" w:hint="eastAsia"/>
          <w:color w:val="auto"/>
          <w:kern w:val="0"/>
          <w:szCs w:val="21"/>
          <w:lang w:eastAsia="zh-CN"/>
          <w:highlight w:val="auto"/>
        </w:rPr>
        <w:t>82.0000</w:t>
      </w:r>
      <w:r>
        <w:rPr>
          <w:rFonts w:ascii="宋体" w:cs="宋体" w:hint="eastAsia"/>
          <w:color w:val="auto"/>
          <w:kern w:val="0"/>
          <w:szCs w:val="21"/>
          <w:highlight w:val="auto"/>
        </w:rPr>
        <w:t>万元（人民币）</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5.采购方式：公开招标</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6</w:t>
      </w:r>
      <w:r>
        <w:rPr>
          <w:rFonts w:ascii="宋体" w:cs="宋体"/>
          <w:color w:val="auto"/>
          <w:kern w:val="0"/>
          <w:szCs w:val="21"/>
          <w:highlight w:val="auto"/>
        </w:rPr>
        <w:t>.</w:t>
      </w:r>
      <w:r>
        <w:rPr>
          <w:rFonts w:ascii="宋体" w:cs="宋体" w:hint="eastAsia"/>
          <w:color w:val="auto"/>
          <w:kern w:val="0"/>
          <w:szCs w:val="21"/>
          <w:highlight w:val="auto"/>
        </w:rPr>
        <w:t>采购需求：</w:t>
      </w:r>
    </w:p>
    <w:tbl>
      <w:tblPr>
        <w:jc w:val="center"/>
        <w:tblW w:w="8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605"/>
        <w:gridCol w:w="1855"/>
        <w:gridCol w:w="1696"/>
        <w:gridCol w:w="615"/>
        <w:gridCol w:w="675"/>
        <w:gridCol w:w="1095"/>
        <w:gridCol w:w="1050"/>
        <w:gridCol w:w="1304"/>
      </w:tblGrid>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eastAsia="宋体" w:hint="eastAsia"/>
                <w:b/>
                <w:color w:val="auto"/>
                <w:szCs w:val="21"/>
                <w:lang w:eastAsia="zh-CN"/>
                <w:highlight w:val="auto"/>
              </w:rPr>
            </w:pPr>
            <w:r>
              <w:rPr>
                <w:rFonts w:ascii="宋体" w:hint="eastAsia"/>
                <w:b/>
                <w:color w:val="auto"/>
                <w:szCs w:val="21"/>
                <w:lang w:val="en-US" w:eastAsia="zh-CN"/>
                <w:highlight w:val="auto"/>
              </w:rPr>
              <w:t>序号</w:t>
            </w:r>
          </w:p>
        </w:tc>
        <w:tc>
          <w:tcPr>
            <w:tcW w:w="185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lang w:val="en-US" w:eastAsia="zh-CN"/>
                <w:highlight w:val="auto"/>
              </w:rPr>
              <w:t>项目</w:t>
            </w:r>
            <w:r>
              <w:rPr>
                <w:rFonts w:ascii="宋体" w:hint="eastAsia"/>
                <w:b/>
                <w:color w:val="auto"/>
                <w:szCs w:val="21"/>
                <w:highlight w:val="auto"/>
              </w:rPr>
              <w:t>名称</w:t>
            </w:r>
          </w:p>
        </w:tc>
        <w:tc>
          <w:tcPr>
            <w:tcW w:w="1696" w:type="dxa"/>
            <w:tcBorders>
              <w:tl2br w:val="nil"/>
              <w:tr2bl w:val="nil"/>
            </w:tcBorders>
            <w:tcMar>
              <w:left w:w="108" w:type="dxa"/>
              <w:right w:w="108" w:type="dxa"/>
            </w:tcMar>
            <w:vAlign w:val="center"/>
          </w:tcPr>
          <w:p>
            <w:pPr>
              <w:snapToGrid w:val="0"/>
              <w:spacing w:line="360" w:lineRule="auto"/>
              <w:rPr>
                <w:rFonts w:ascii="宋体"/>
                <w:b/>
                <w:color w:val="auto"/>
                <w:szCs w:val="21"/>
                <w:highlight w:val="auto"/>
              </w:rPr>
            </w:pPr>
            <w:r>
              <w:rPr>
                <w:rFonts w:ascii="宋体" w:hint="eastAsia"/>
                <w:b/>
                <w:color w:val="auto"/>
                <w:szCs w:val="21"/>
                <w:highlight w:val="auto"/>
              </w:rPr>
              <w:t>设备名称</w:t>
            </w:r>
          </w:p>
        </w:tc>
        <w:tc>
          <w:tcPr>
            <w:tcW w:w="61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数量</w:t>
            </w:r>
          </w:p>
        </w:tc>
        <w:tc>
          <w:tcPr>
            <w:tcW w:w="67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单位</w:t>
            </w:r>
          </w:p>
        </w:tc>
        <w:tc>
          <w:tcPr>
            <w:tcW w:w="109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分项预算价（万元）</w:t>
            </w:r>
          </w:p>
        </w:tc>
        <w:tc>
          <w:tcPr>
            <w:tcW w:w="1050"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合计预算价（万元）</w:t>
            </w:r>
          </w:p>
        </w:tc>
        <w:tc>
          <w:tcPr>
            <w:tcW w:w="1304"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简要技术描述或基本概况介绍</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1</w:t>
            </w:r>
          </w:p>
        </w:tc>
        <w:tc>
          <w:tcPr>
            <w:tcW w:w="1855"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lang w:eastAsia="zh-CN"/>
                <w:highlight w:val="auto"/>
              </w:rPr>
              <w:t>嘉兴海关综合技术服务中心2025年实验室仪器设备更新项目（二）</w:t>
            </w: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生物安全柜</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11</w:t>
            </w:r>
          </w:p>
        </w:tc>
        <w:tc>
          <w:tcPr>
            <w:tcW w:w="1050" w:type="dxa"/>
            <w:vMerge w:val="restart"/>
            <w:tcBorders>
              <w:tl2br w:val="nil"/>
              <w:tr2bl w:val="nil"/>
            </w:tcBorders>
            <w:tcMar>
              <w:left w:w="108" w:type="dxa"/>
              <w:right w:w="108" w:type="dxa"/>
            </w:tcMar>
            <w:vAlign w:val="center"/>
          </w:tcPr>
          <w:p>
            <w:pPr>
              <w:snapToGrid w:val="0"/>
              <w:spacing w:line="360" w:lineRule="auto"/>
              <w:jc w:val="center"/>
              <w:rPr>
                <w:rFonts w:ascii="宋体" w:eastAsia="宋体"/>
                <w:b/>
                <w:color w:val="auto"/>
                <w:szCs w:val="21"/>
                <w:lang w:val="en-US" w:eastAsia="zh-CN"/>
                <w:highlight w:val="auto"/>
              </w:rPr>
            </w:pPr>
            <w:r>
              <w:rPr>
                <w:rFonts w:ascii="宋体" w:hint="eastAsia"/>
                <w:b/>
                <w:color w:val="auto"/>
                <w:szCs w:val="21"/>
                <w:lang w:val="en-US" w:eastAsia="zh-CN"/>
                <w:highlight w:val="auto"/>
              </w:rPr>
              <w:t xml:space="preserve"> 82</w:t>
            </w:r>
          </w:p>
        </w:tc>
        <w:tc>
          <w:tcPr>
            <w:tcW w:w="1304"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highlight w:val="auto"/>
              </w:rPr>
              <w:t>详见采购需求及采购文件</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2</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恒温恒湿培养箱</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15</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3</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台式冷冻离心机</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14</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4</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纯水/超纯水机</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2</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24</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5</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紫外可见分光光度计</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18</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bl>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7</w:t>
      </w:r>
      <w:r>
        <w:rPr>
          <w:rFonts w:ascii="宋体" w:cs="宋体"/>
          <w:color w:val="auto"/>
          <w:kern w:val="0"/>
          <w:szCs w:val="21"/>
          <w:highlight w:val="auto"/>
        </w:rPr>
        <w:t>.</w:t>
      </w:r>
      <w:r>
        <w:rPr>
          <w:rFonts w:ascii="宋体" w:cs="宋体" w:hint="eastAsia"/>
          <w:color w:val="auto"/>
          <w:kern w:val="0"/>
          <w:szCs w:val="21"/>
          <w:highlight w:val="auto"/>
        </w:rPr>
        <w:t>合同履行期限：</w:t>
      </w:r>
      <w:r>
        <w:rPr>
          <w:rFonts w:ascii="宋体" w:eastAsia="宋体" w:cs="宋体" w:hint="eastAsia"/>
          <w:color w:val="auto"/>
          <w:highlight w:val="auto"/>
        </w:rPr>
        <w:t>正式签订合同后</w:t>
      </w:r>
      <w:r>
        <w:rPr>
          <w:rFonts w:ascii="宋体" w:eastAsia="宋体" w:cs="宋体" w:hint="eastAsia"/>
          <w:color w:val="auto"/>
          <w:lang w:val="en-US" w:eastAsia="zh-CN"/>
          <w:highlight w:val="auto"/>
        </w:rPr>
        <w:t>45</w:t>
      </w:r>
      <w:r>
        <w:rPr>
          <w:rFonts w:ascii="宋体" w:eastAsia="宋体" w:cs="宋体" w:hint="eastAsia"/>
          <w:color w:val="auto"/>
          <w:highlight w:val="auto"/>
        </w:rPr>
        <w:t>个日历</w:t>
      </w:r>
      <w:r>
        <w:rPr>
          <w:rFonts w:ascii="宋体" w:cs="宋体" w:hint="eastAsia"/>
          <w:color w:val="auto"/>
          <w:lang w:val="en-US" w:eastAsia="zh-CN"/>
          <w:highlight w:val="auto"/>
        </w:rPr>
        <w:t>天内</w:t>
      </w:r>
      <w:r>
        <w:rPr>
          <w:rFonts w:ascii="宋体" w:eastAsia="宋体" w:cs="宋体" w:hint="eastAsia"/>
          <w:color w:val="auto"/>
          <w:lang w:val="en-US" w:eastAsia="zh-CN"/>
          <w:highlight w:val="auto"/>
        </w:rPr>
        <w:t>完成</w:t>
      </w:r>
      <w:r>
        <w:rPr>
          <w:rFonts w:ascii="宋体" w:eastAsia="宋体" w:cs="宋体" w:hint="eastAsia"/>
          <w:color w:val="auto"/>
          <w:highlight w:val="auto"/>
        </w:rPr>
        <w:t>交货</w:t>
      </w:r>
    </w:p>
    <w:p>
      <w:pPr>
        <w:widowControl/>
        <w:spacing w:line="360" w:lineRule="auto"/>
        <w:ind w:firstLineChars="200" w:firstLine="420"/>
        <w:jc w:val="left"/>
        <w:rPr>
          <w:rFonts w:ascii="宋体" w:cs="宋体"/>
          <w:color w:val="auto"/>
          <w:kern w:val="0"/>
          <w:szCs w:val="21"/>
          <w:highlight w:val="auto"/>
        </w:rPr>
      </w:pPr>
      <w:r>
        <w:rPr>
          <w:rFonts w:ascii="宋体" w:cs="宋体" w:hint="eastAsia"/>
          <w:color w:val="auto"/>
          <w:kern w:val="0"/>
          <w:szCs w:val="21"/>
          <w:highlight w:val="auto"/>
        </w:rPr>
        <w:t>8</w:t>
      </w:r>
      <w:r>
        <w:rPr>
          <w:rFonts w:ascii="宋体" w:cs="宋体"/>
          <w:color w:val="auto"/>
          <w:kern w:val="0"/>
          <w:szCs w:val="21"/>
          <w:highlight w:val="auto"/>
        </w:rPr>
        <w:t>.</w:t>
      </w:r>
      <w:r>
        <w:rPr>
          <w:rFonts w:ascii="宋体" w:cs="宋体" w:hint="eastAsia"/>
          <w:color w:val="auto"/>
          <w:kern w:val="0"/>
          <w:szCs w:val="21"/>
          <w:highlight w:val="auto"/>
        </w:rPr>
        <w:t>本项目</w:t>
      </w:r>
      <w:r>
        <w:rPr>
          <w:rFonts w:ascii="宋体" w:cs="宋体"/>
          <w:color w:val="auto"/>
          <w:kern w:val="0"/>
          <w:szCs w:val="21"/>
          <w:highlight w:val="auto"/>
        </w:rPr>
        <w:t xml:space="preserve">( </w:t>
      </w:r>
      <w:r>
        <w:rPr>
          <w:rFonts w:ascii="宋体" w:cs="宋体" w:hint="eastAsia"/>
          <w:color w:val="auto"/>
          <w:kern w:val="0"/>
          <w:szCs w:val="21"/>
          <w:highlight w:val="auto"/>
        </w:rPr>
        <w:t>不接受</w:t>
      </w:r>
      <w:r>
        <w:rPr>
          <w:rFonts w:ascii="宋体" w:cs="宋体"/>
          <w:color w:val="auto"/>
          <w:kern w:val="0"/>
          <w:szCs w:val="21"/>
          <w:highlight w:val="auto"/>
        </w:rPr>
        <w:t xml:space="preserve"> )</w:t>
      </w:r>
      <w:r>
        <w:rPr>
          <w:rFonts w:ascii="宋体" w:cs="宋体" w:hint="eastAsia"/>
          <w:color w:val="auto"/>
          <w:kern w:val="0"/>
          <w:szCs w:val="21"/>
          <w:highlight w:val="auto"/>
        </w:rPr>
        <w:t>联合体投标。</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二、申请人的资格要求：</w:t>
      </w:r>
    </w:p>
    <w:p>
      <w:pPr>
        <w:widowControl/>
        <w:spacing w:line="360" w:lineRule="auto"/>
        <w:ind w:firstLineChars="200" w:firstLine="420"/>
        <w:jc w:val="left"/>
        <w:rPr>
          <w:rFonts w:ascii="宋体" w:cs="宋体"/>
          <w:color w:val="auto"/>
          <w:kern w:val="0"/>
          <w:szCs w:val="21"/>
          <w:highlight w:val="auto"/>
        </w:rPr>
      </w:pPr>
      <w:r>
        <w:rPr>
          <w:rFonts w:ascii="宋体" w:cs="宋体"/>
          <w:color w:val="auto"/>
          <w:kern w:val="0"/>
          <w:szCs w:val="21"/>
          <w:highlight w:val="auto"/>
        </w:rPr>
        <w:t>1.</w:t>
      </w:r>
      <w:r>
        <w:rPr>
          <w:rFonts w:ascii="宋体" w:cs="宋体" w:hint="eastAsia"/>
          <w:color w:val="auto"/>
          <w:kern w:val="0"/>
          <w:szCs w:val="21"/>
          <w:highlight w:val="auto"/>
        </w:rPr>
        <w:t>满足《中华人民共和国政府采购法》第二十二条规定；</w:t>
      </w:r>
    </w:p>
    <w:p>
      <w:pPr>
        <w:widowControl/>
        <w:spacing w:line="360" w:lineRule="auto"/>
        <w:ind w:firstLineChars="200" w:firstLine="420"/>
        <w:jc w:val="left"/>
        <w:rPr>
          <w:rFonts w:ascii="宋体" w:cs="宋体" w:hint="eastAsia"/>
          <w:color w:val="auto"/>
          <w:kern w:val="0"/>
          <w:szCs w:val="21"/>
          <w:lang w:val="en-US" w:eastAsia="zh-CN"/>
          <w:highlight w:val="auto"/>
        </w:rPr>
      </w:pPr>
      <w:r>
        <w:rPr>
          <w:rFonts w:ascii="宋体" w:cs="宋体"/>
          <w:color w:val="auto"/>
          <w:kern w:val="0"/>
          <w:szCs w:val="21"/>
          <w:highlight w:val="auto"/>
        </w:rPr>
        <w:t>2.</w:t>
      </w:r>
      <w:r>
        <w:rPr>
          <w:rFonts w:ascii="宋体" w:cs="宋体" w:hint="eastAsia"/>
          <w:color w:val="auto"/>
          <w:kern w:val="0"/>
          <w:szCs w:val="21"/>
          <w:highlight w:val="auto"/>
        </w:rPr>
        <w:t>落实政府采购政策需满足的资格要求：</w:t>
      </w:r>
      <w:r>
        <w:rPr>
          <w:rFonts w:ascii="宋体" w:cs="宋体" w:hint="eastAsia"/>
          <w:color w:val="auto"/>
          <w:kern w:val="0"/>
          <w:szCs w:val="21"/>
          <w:lang w:val="en-US" w:eastAsia="zh-CN"/>
          <w:highlight w:val="auto"/>
        </w:rPr>
        <w:t>专门面向中小企业；</w:t>
      </w:r>
    </w:p>
    <w:p>
      <w:pPr>
        <w:widowControl/>
        <w:spacing w:line="360" w:lineRule="auto"/>
        <w:ind w:firstLineChars="200" w:firstLine="420"/>
        <w:jc w:val="left"/>
        <w:rPr>
          <w:rFonts w:ascii="宋体" w:cs="宋体"/>
          <w:b/>
          <w:bCs/>
          <w:color w:val="auto"/>
          <w:kern w:val="0"/>
          <w:szCs w:val="21"/>
          <w:highlight w:val="auto"/>
        </w:rPr>
      </w:pPr>
      <w:r>
        <w:rPr>
          <w:rFonts w:ascii="宋体" w:cs="宋体"/>
          <w:color w:val="auto"/>
          <w:kern w:val="0"/>
          <w:szCs w:val="21"/>
          <w:highlight w:val="auto"/>
        </w:rPr>
        <w:t>3.</w:t>
      </w:r>
      <w:r>
        <w:rPr>
          <w:rFonts w:ascii="宋体" w:cs="宋体" w:hint="eastAsia"/>
          <w:color w:val="auto"/>
          <w:kern w:val="0"/>
          <w:szCs w:val="21"/>
          <w:highlight w:val="auto"/>
        </w:rPr>
        <w:t>本项目的特定资格要求：</w:t>
      </w:r>
      <w:r>
        <w:rPr>
          <w:rFonts w:ascii="宋体" w:cs="宋体" w:hint="eastAsia"/>
          <w:b/>
          <w:bCs/>
          <w:color w:val="auto"/>
          <w:kern w:val="0"/>
          <w:szCs w:val="21"/>
          <w:highlight w:val="auto"/>
        </w:rPr>
        <w:t>未被“信用中国”（www.creditchina.gov.cn)、中国政府采购网（www.ccgp.gov.cn）列入失信被执行人、重大税收违法失信主体、政府采购严重违法失信行为记录名单；本项目不接受进口产品投标（进口产品是指通过中国海关报关，验放进入中国境内，且产自关境外的产品）</w:t>
      </w:r>
    </w:p>
    <w:p>
      <w:pPr>
        <w:pStyle w:val="21"/>
        <w:spacing w:line="360" w:lineRule="auto"/>
        <w:rPr>
          <w:rFonts w:ascii="宋体" w:cs="宋体"/>
          <w:b/>
          <w:bCs/>
          <w:color w:val="auto"/>
          <w:kern w:val="0"/>
          <w:sz w:val="21"/>
          <w:szCs w:val="21"/>
          <w:highlight w:val="auto"/>
        </w:rPr>
      </w:pPr>
      <w:r>
        <w:rPr>
          <w:rFonts w:ascii="宋体" w:cs="宋体" w:hint="eastAsia"/>
          <w:b/>
          <w:bCs/>
          <w:color w:val="auto"/>
          <w:kern w:val="0"/>
          <w:sz w:val="21"/>
          <w:szCs w:val="21"/>
          <w:highlight w:val="auto"/>
        </w:rPr>
        <w:t>三、获取招标文件</w:t>
      </w:r>
    </w:p>
    <w:p>
      <w:pPr>
        <w:spacing w:line="360" w:lineRule="auto"/>
        <w:ind w:firstLine="540"/>
        <w:rPr>
          <w:rFonts w:ascii="宋体" w:cs="宋体"/>
          <w:color w:val="auto"/>
          <w:szCs w:val="21"/>
          <w:highlight w:val="auto"/>
        </w:rPr>
      </w:pPr>
      <w:r>
        <w:rPr>
          <w:rFonts w:ascii="宋体" w:cs="宋体" w:hint="eastAsia"/>
          <w:color w:val="auto"/>
          <w:szCs w:val="21"/>
          <w:highlight w:val="auto"/>
        </w:rPr>
        <w:t>时间：</w:t>
      </w:r>
      <w:r>
        <w:rPr>
          <w:rFonts w:ascii="宋体" w:cs="宋体" w:hint="eastAsia"/>
          <w:color w:val="auto"/>
          <w:szCs w:val="21"/>
          <w:u w:val="single"/>
          <w:highlight w:val="auto"/>
        </w:rPr>
        <w:t>202</w:t>
      </w:r>
      <w:r>
        <w:rPr>
          <w:rFonts w:ascii="宋体" w:cs="宋体" w:hint="eastAsia"/>
          <w:color w:val="auto"/>
          <w:szCs w:val="21"/>
          <w:u w:val="single"/>
          <w:lang w:val="en-US" w:eastAsia="zh-CN"/>
          <w:highlight w:val="auto"/>
        </w:rPr>
        <w:t>5</w:t>
      </w:r>
      <w:r>
        <w:rPr>
          <w:rFonts w:ascii="宋体" w:cs="宋体" w:hint="eastAsia"/>
          <w:color w:val="auto"/>
          <w:szCs w:val="21"/>
          <w:u w:val="single"/>
          <w:highlight w:val="auto"/>
        </w:rPr>
        <w:t>年</w:t>
      </w:r>
      <w:r>
        <w:rPr>
          <w:rFonts w:ascii="宋体" w:cs="宋体" w:hint="eastAsia"/>
          <w:color w:val="auto"/>
          <w:szCs w:val="21"/>
          <w:u w:val="single"/>
          <w:lang w:val="en-US" w:eastAsia="zh-CN"/>
          <w:highlight w:val="auto"/>
        </w:rPr>
        <w:t xml:space="preserve">9 </w:t>
      </w:r>
      <w:r>
        <w:rPr>
          <w:rFonts w:ascii="宋体" w:cs="宋体" w:hint="eastAsia"/>
          <w:color w:val="auto"/>
          <w:szCs w:val="21"/>
          <w:u w:val="single"/>
          <w:highlight w:val="auto"/>
        </w:rPr>
        <w:t>月</w:t>
      </w:r>
      <w:r>
        <w:rPr>
          <w:rFonts w:ascii="宋体" w:cs="宋体" w:hint="eastAsia"/>
          <w:color w:val="auto"/>
          <w:szCs w:val="21"/>
          <w:u w:val="single"/>
          <w:lang w:val="en-US" w:eastAsia="zh-CN"/>
          <w:highlight w:val="auto"/>
        </w:rPr>
        <w:t>30</w:t>
      </w:r>
      <w:r>
        <w:rPr>
          <w:rFonts w:ascii="宋体" w:cs="宋体" w:hint="eastAsia"/>
          <w:color w:val="auto"/>
          <w:szCs w:val="21"/>
          <w:u w:val="single"/>
          <w:highlight w:val="auto"/>
        </w:rPr>
        <w:t>日</w:t>
      </w:r>
      <w:r>
        <w:rPr>
          <w:rFonts w:ascii="宋体" w:cs="宋体" w:hint="eastAsia"/>
          <w:color w:val="auto"/>
          <w:szCs w:val="21"/>
          <w:highlight w:val="auto"/>
        </w:rPr>
        <w:t>至</w:t>
      </w:r>
      <w:r>
        <w:rPr>
          <w:rFonts w:ascii="宋体" w:cs="宋体" w:hint="eastAsia"/>
          <w:color w:val="auto"/>
          <w:szCs w:val="21"/>
          <w:u w:val="single"/>
          <w:highlight w:val="auto"/>
        </w:rPr>
        <w:t>202</w:t>
      </w:r>
      <w:r>
        <w:rPr>
          <w:rFonts w:ascii="宋体" w:cs="宋体" w:hint="eastAsia"/>
          <w:color w:val="auto"/>
          <w:szCs w:val="21"/>
          <w:u w:val="single"/>
          <w:lang w:val="en-US" w:eastAsia="zh-CN"/>
          <w:highlight w:val="auto"/>
        </w:rPr>
        <w:t>5</w:t>
      </w:r>
      <w:r>
        <w:rPr>
          <w:rFonts w:ascii="宋体" w:cs="宋体" w:hint="eastAsia"/>
          <w:color w:val="auto"/>
          <w:szCs w:val="21"/>
          <w:u w:val="single"/>
          <w:highlight w:val="auto"/>
        </w:rPr>
        <w:t>年</w:t>
      </w:r>
      <w:r>
        <w:rPr>
          <w:rFonts w:ascii="宋体" w:cs="宋体" w:hint="eastAsia"/>
          <w:color w:val="auto"/>
          <w:szCs w:val="21"/>
          <w:u w:val="single"/>
          <w:lang w:val="en-US" w:eastAsia="zh-CN"/>
          <w:highlight w:val="auto"/>
        </w:rPr>
        <w:t>10</w:t>
      </w:r>
      <w:r>
        <w:rPr>
          <w:rFonts w:ascii="宋体" w:cs="宋体" w:hint="eastAsia"/>
          <w:color w:val="auto"/>
          <w:szCs w:val="21"/>
          <w:u w:val="single"/>
          <w:highlight w:val="auto"/>
        </w:rPr>
        <w:t>月</w:t>
      </w:r>
      <w:r>
        <w:rPr>
          <w:rFonts w:ascii="宋体" w:cs="宋体" w:hint="eastAsia"/>
          <w:color w:val="auto"/>
          <w:szCs w:val="21"/>
          <w:u w:val="single"/>
          <w:lang w:val="en-US" w:eastAsia="zh-CN"/>
          <w:highlight w:val="auto"/>
        </w:rPr>
        <w:t>21</w:t>
      </w:r>
      <w:r>
        <w:rPr>
          <w:rFonts w:ascii="宋体" w:cs="宋体" w:hint="eastAsia"/>
          <w:color w:val="auto"/>
          <w:szCs w:val="21"/>
          <w:u w:val="single"/>
          <w:highlight w:val="auto"/>
        </w:rPr>
        <w:t>日</w:t>
      </w:r>
      <w:r>
        <w:rPr>
          <w:rFonts w:ascii="宋体" w:cs="宋体" w:hint="eastAsia"/>
          <w:color w:val="auto"/>
          <w:szCs w:val="21"/>
          <w:highlight w:val="auto"/>
        </w:rPr>
        <w:t>，每天上午</w:t>
      </w:r>
      <w:r>
        <w:rPr>
          <w:rFonts w:ascii="宋体" w:cs="宋体"/>
          <w:color w:val="auto"/>
          <w:szCs w:val="21"/>
          <w:u w:val="single"/>
          <w:highlight w:val="auto"/>
        </w:rPr>
        <w:t xml:space="preserve"> 8:30</w:t>
      </w:r>
      <w:r>
        <w:rPr>
          <w:rFonts w:ascii="宋体" w:cs="宋体" w:hint="eastAsia"/>
          <w:color w:val="auto"/>
          <w:szCs w:val="21"/>
          <w:highlight w:val="auto"/>
        </w:rPr>
        <w:t>至</w:t>
      </w:r>
      <w:r>
        <w:rPr>
          <w:rFonts w:ascii="宋体" w:cs="宋体"/>
          <w:color w:val="auto"/>
          <w:szCs w:val="21"/>
          <w:u w:val="single"/>
          <w:highlight w:val="auto"/>
        </w:rPr>
        <w:t xml:space="preserve"> 11:30</w:t>
      </w:r>
      <w:r>
        <w:rPr>
          <w:rFonts w:ascii="宋体" w:cs="宋体" w:hint="eastAsia"/>
          <w:color w:val="auto"/>
          <w:szCs w:val="21"/>
          <w:highlight w:val="auto"/>
        </w:rPr>
        <w:t>，下午</w:t>
      </w:r>
      <w:r>
        <w:rPr>
          <w:rFonts w:ascii="宋体" w:cs="宋体"/>
          <w:color w:val="auto"/>
          <w:szCs w:val="21"/>
          <w:u w:val="single"/>
          <w:highlight w:val="auto"/>
        </w:rPr>
        <w:t xml:space="preserve"> 13:30</w:t>
      </w:r>
      <w:r>
        <w:rPr>
          <w:rFonts w:ascii="宋体" w:cs="宋体" w:hint="eastAsia"/>
          <w:color w:val="auto"/>
          <w:szCs w:val="21"/>
          <w:highlight w:val="auto"/>
        </w:rPr>
        <w:t>至</w:t>
      </w:r>
      <w:r>
        <w:rPr>
          <w:rFonts w:ascii="宋体" w:cs="宋体"/>
          <w:color w:val="auto"/>
          <w:szCs w:val="21"/>
          <w:u w:val="single"/>
          <w:highlight w:val="auto"/>
        </w:rPr>
        <w:t xml:space="preserve"> 17:00</w:t>
      </w:r>
      <w:r>
        <w:rPr>
          <w:rFonts w:ascii="宋体" w:cs="宋体" w:hint="eastAsia"/>
          <w:color w:val="auto"/>
          <w:szCs w:val="21"/>
          <w:highlight w:val="auto"/>
        </w:rPr>
        <w:t>（北京时间，法定节假日除外</w:t>
      </w:r>
      <w:r>
        <w:rPr>
          <w:rFonts w:ascii="宋体" w:cs="宋体"/>
          <w:color w:val="auto"/>
          <w:szCs w:val="21"/>
          <w:highlight w:val="auto"/>
        </w:rPr>
        <w:t xml:space="preserve"> </w:t>
      </w:r>
      <w:r>
        <w:rPr>
          <w:rFonts w:ascii="宋体" w:cs="宋体" w:hint="eastAsia"/>
          <w:color w:val="auto"/>
          <w:szCs w:val="21"/>
          <w:highlight w:val="auto"/>
        </w:rPr>
        <w:t>）</w:t>
      </w:r>
    </w:p>
    <w:p>
      <w:pPr>
        <w:spacing w:line="360" w:lineRule="auto"/>
        <w:ind w:firstLine="540"/>
        <w:rPr>
          <w:rFonts w:ascii="宋体" w:cs="宋体"/>
          <w:color w:val="auto"/>
          <w:szCs w:val="21"/>
          <w:u w:val="single"/>
          <w:highlight w:val="auto"/>
        </w:rPr>
      </w:pPr>
      <w:r>
        <w:rPr>
          <w:rFonts w:ascii="宋体" w:cs="宋体" w:hint="eastAsia"/>
          <w:color w:val="auto"/>
          <w:szCs w:val="21"/>
          <w:highlight w:val="auto"/>
        </w:rPr>
        <w:t>地点：</w:t>
      </w:r>
      <w:r>
        <w:rPr>
          <w:rFonts w:ascii="宋体" w:hint="eastAsia"/>
          <w:color w:val="auto"/>
          <w:szCs w:val="21"/>
          <w:highlight w:val="auto"/>
        </w:rPr>
        <w:t>大地工程咨询有限公司（嘉兴市秀洲区洪波路1200号万豪广场12楼1204室）</w:t>
      </w:r>
    </w:p>
    <w:p>
      <w:pPr>
        <w:spacing w:line="360" w:lineRule="auto"/>
        <w:ind w:firstLine="540"/>
        <w:rPr>
          <w:rFonts w:ascii="宋体" w:cs="宋体"/>
          <w:color w:val="auto"/>
          <w:szCs w:val="21"/>
          <w:highlight w:val="auto"/>
        </w:rPr>
      </w:pPr>
      <w:r>
        <w:rPr>
          <w:rFonts w:ascii="宋体" w:cs="宋体" w:hint="eastAsia"/>
          <w:color w:val="auto"/>
          <w:szCs w:val="21"/>
          <w:highlight w:val="auto"/>
        </w:rPr>
        <w:t>方式：现场报名</w:t>
      </w:r>
      <w:r>
        <w:rPr>
          <w:rFonts w:ascii="宋体" w:cs="宋体"/>
          <w:color w:val="auto"/>
          <w:szCs w:val="21"/>
          <w:highlight w:val="auto"/>
        </w:rPr>
        <w:t>/</w:t>
      </w:r>
      <w:r>
        <w:rPr>
          <w:rFonts w:ascii="宋体" w:cs="宋体" w:hint="eastAsia"/>
          <w:color w:val="auto"/>
          <w:szCs w:val="21"/>
          <w:highlight w:val="auto"/>
        </w:rPr>
        <w:t>或邮件报名</w:t>
      </w:r>
    </w:p>
    <w:p>
      <w:pPr>
        <w:spacing w:line="360" w:lineRule="auto"/>
        <w:ind w:firstLine="540"/>
        <w:rPr>
          <w:rFonts w:ascii="宋体" w:eastAsia="宋体"/>
          <w:color w:val="auto"/>
          <w:szCs w:val="21"/>
          <w:lang w:val="en-US" w:eastAsia="zh-CN"/>
          <w:highlight w:val="auto"/>
        </w:rPr>
      </w:pPr>
      <w:r>
        <w:rPr>
          <w:rFonts w:ascii="宋体" w:cs="宋体" w:hint="eastAsia"/>
          <w:color w:val="auto"/>
          <w:szCs w:val="21"/>
          <w:highlight w:val="auto"/>
        </w:rPr>
        <w:t>售价：</w:t>
      </w:r>
      <w:r>
        <w:rPr>
          <w:rFonts w:ascii="宋体" w:hint="eastAsia"/>
          <w:color w:val="auto"/>
          <w:szCs w:val="21"/>
          <w:lang w:val="en-US" w:eastAsia="zh-CN"/>
          <w:highlight w:val="auto"/>
        </w:rPr>
        <w:t>0元</w:t>
      </w:r>
    </w:p>
    <w:p>
      <w:pPr>
        <w:spacing w:line="360" w:lineRule="auto"/>
        <w:ind w:firstLine="540"/>
        <w:rPr>
          <w:rFonts w:ascii="宋体"/>
          <w:b/>
          <w:bCs/>
          <w:color w:val="auto"/>
          <w:szCs w:val="21"/>
          <w:highlight w:val="auto"/>
        </w:rPr>
      </w:pPr>
      <w:r>
        <w:rPr>
          <w:rFonts w:ascii="宋体" w:hint="eastAsia"/>
          <w:b/>
          <w:bCs/>
          <w:color w:val="auto"/>
          <w:szCs w:val="21"/>
          <w:highlight w:val="auto"/>
        </w:rPr>
        <w:t>获取文件时应提交企业法定代表人授权委托书或单位介绍信（留存）、营业执照复印件、</w:t>
      </w:r>
      <w:r>
        <w:rPr>
          <w:rFonts w:ascii="宋体" w:cs="楷体" w:hint="eastAsia"/>
          <w:b/>
          <w:bCs/>
          <w:color w:val="auto"/>
          <w:kern w:val="0"/>
          <w:szCs w:val="21"/>
          <w:highlight w:val="auto"/>
        </w:rPr>
        <w:t>单位联系方式</w:t>
      </w:r>
      <w:r>
        <w:rPr>
          <w:rFonts w:ascii="宋体" w:cs="楷体" w:hint="eastAsia"/>
          <w:b/>
          <w:bCs/>
          <w:color w:val="auto"/>
          <w:kern w:val="0"/>
          <w:szCs w:val="21"/>
          <w:lang w:eastAsia="zh-CN"/>
          <w:highlight w:val="auto"/>
        </w:rPr>
        <w:t>、</w:t>
      </w:r>
      <w:r>
        <w:rPr>
          <w:rFonts w:ascii="宋体" w:cs="楷体" w:hint="eastAsia"/>
          <w:b/>
          <w:bCs/>
          <w:color w:val="auto"/>
          <w:kern w:val="0"/>
          <w:szCs w:val="21"/>
          <w:lang w:val="en-US" w:eastAsia="zh-CN"/>
          <w:highlight w:val="auto"/>
        </w:rPr>
        <w:t>所投项目</w:t>
      </w:r>
      <w:r>
        <w:rPr>
          <w:rFonts w:ascii="宋体" w:cs="楷体" w:hint="eastAsia"/>
          <w:b/>
          <w:bCs/>
          <w:color w:val="auto"/>
          <w:kern w:val="0"/>
          <w:szCs w:val="21"/>
          <w:highlight w:val="auto"/>
        </w:rPr>
        <w:t>等</w:t>
      </w:r>
      <w:r>
        <w:rPr>
          <w:rFonts w:ascii="宋体" w:cs="楷体" w:hint="eastAsia"/>
          <w:b/>
          <w:bCs/>
          <w:color w:val="auto"/>
          <w:kern w:val="0"/>
          <w:szCs w:val="21"/>
          <w:lang w:val="en-US" w:eastAsia="zh-CN"/>
          <w:highlight w:val="auto"/>
        </w:rPr>
        <w:t>复印件加盖公章</w:t>
      </w:r>
      <w:r>
        <w:rPr>
          <w:rFonts w:ascii="宋体" w:hint="eastAsia"/>
          <w:b/>
          <w:bCs/>
          <w:color w:val="auto"/>
          <w:szCs w:val="21"/>
          <w:highlight w:val="auto"/>
        </w:rPr>
        <w:t>。</w:t>
      </w:r>
      <w:r>
        <w:rPr>
          <w:rFonts w:ascii="宋体" w:hint="eastAsia"/>
          <w:b/>
          <w:bCs/>
          <w:color w:val="auto"/>
          <w:szCs w:val="21"/>
          <w:lang w:val="en-US" w:eastAsia="zh-CN"/>
          <w:highlight w:val="auto"/>
        </w:rPr>
        <w:t>采用邮件报名的可将上述</w:t>
      </w:r>
      <w:r>
        <w:rPr>
          <w:rFonts w:ascii="宋体" w:hint="eastAsia"/>
          <w:b/>
          <w:bCs/>
          <w:color w:val="auto"/>
          <w:szCs w:val="21"/>
          <w:highlight w:val="auto"/>
        </w:rPr>
        <w:t>报名资料</w:t>
      </w:r>
      <w:r>
        <w:rPr>
          <w:rFonts w:ascii="宋体" w:hint="eastAsia"/>
          <w:b/>
          <w:bCs/>
          <w:color w:val="auto"/>
          <w:szCs w:val="21"/>
          <w:lang w:val="en-US" w:eastAsia="zh-CN"/>
          <w:highlight w:val="auto"/>
        </w:rPr>
        <w:t>扫描件</w:t>
      </w:r>
      <w:r>
        <w:rPr>
          <w:rStyle w:val="50"/>
          <w:rFonts w:ascii="宋体" w:hint="eastAsia"/>
          <w:b/>
          <w:bCs/>
          <w:color w:val="auto"/>
          <w:szCs w:val="21"/>
          <w:highlight w:val="auto"/>
        </w:rPr>
        <w:fldChar w:fldCharType="begin"/>
      </w:r>
      <w:r>
        <w:instrText>HYPERLINK "mailto:资料发至466740141@qq.com"</w:instrText>
      </w:r>
      <w:r>
        <w:rPr>
          <w:rStyle w:val="50"/>
          <w:rFonts w:ascii="宋体" w:hint="eastAsia"/>
          <w:b/>
          <w:bCs/>
          <w:color w:val="auto"/>
          <w:szCs w:val="21"/>
          <w:highlight w:val="auto"/>
        </w:rPr>
        <w:fldChar w:fldCharType="separate"/>
      </w:r>
      <w:r>
        <w:rPr>
          <w:rStyle w:val="50"/>
          <w:rFonts w:ascii="宋体" w:hint="eastAsia"/>
          <w:b/>
          <w:bCs/>
          <w:color w:val="auto"/>
          <w:szCs w:val="21"/>
          <w:highlight w:val="auto"/>
        </w:rPr>
        <w:t>发</w:t>
      </w:r>
      <w:r>
        <w:rPr>
          <w:rStyle w:val="50"/>
          <w:rFonts w:ascii="宋体" w:hint="eastAsia"/>
          <w:b/>
          <w:bCs/>
          <w:color w:val="auto"/>
          <w:szCs w:val="21"/>
          <w:lang w:val="en-US" w:eastAsia="zh-CN"/>
          <w:highlight w:val="auto"/>
        </w:rPr>
        <w:t>送</w:t>
      </w:r>
      <w:r>
        <w:rPr>
          <w:rStyle w:val="50"/>
          <w:rFonts w:ascii="宋体" w:hint="eastAsia"/>
          <w:b/>
          <w:bCs/>
          <w:color w:val="auto"/>
          <w:szCs w:val="21"/>
          <w:highlight w:val="auto"/>
        </w:rPr>
        <w:t>至376790573@qq.com</w:t>
      </w:r>
      <w:r>
        <w:rPr>
          <w:rStyle w:val="50"/>
          <w:rFonts w:ascii="宋体" w:hint="eastAsia"/>
          <w:b/>
          <w:bCs/>
          <w:color w:val="auto"/>
          <w:szCs w:val="21"/>
          <w:highlight w:val="auto"/>
        </w:rPr>
        <w:fldChar w:fldCharType="end"/>
      </w:r>
      <w:r>
        <w:rPr>
          <w:rFonts w:ascii="宋体" w:hint="eastAsia"/>
          <w:b/>
          <w:bCs/>
          <w:color w:val="auto"/>
          <w:szCs w:val="21"/>
          <w:highlight w:val="auto"/>
        </w:rPr>
        <w:t>邮箱。</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四、提交投标文件截止时间、开标时间和地点</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截止时间：</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10</w:t>
      </w:r>
      <w:r>
        <w:rPr>
          <w:rFonts w:ascii="宋体" w:hint="eastAsia"/>
          <w:color w:val="auto"/>
          <w:szCs w:val="21"/>
          <w:u w:val="single"/>
          <w:highlight w:val="auto"/>
        </w:rPr>
        <w:t>月</w:t>
      </w:r>
      <w:r>
        <w:rPr>
          <w:rFonts w:ascii="宋体" w:hint="eastAsia"/>
          <w:color w:val="auto"/>
          <w:szCs w:val="21"/>
          <w:u w:val="single"/>
          <w:lang w:val="en-US" w:eastAsia="zh-CN"/>
          <w:highlight w:val="auto"/>
        </w:rPr>
        <w:t>22</w:t>
      </w:r>
      <w:r>
        <w:rPr>
          <w:rFonts w:ascii="宋体" w:hint="eastAsia"/>
          <w:color w:val="auto"/>
          <w:szCs w:val="21"/>
          <w:u w:val="single"/>
          <w:highlight w:val="auto"/>
        </w:rPr>
        <w:t>日</w:t>
      </w:r>
      <w:r>
        <w:rPr>
          <w:rFonts w:ascii="宋体" w:hint="eastAsia"/>
          <w:color w:val="auto"/>
          <w:szCs w:val="21"/>
          <w:u w:val="single"/>
          <w:lang w:val="en-US" w:eastAsia="zh-CN"/>
          <w:highlight w:val="auto"/>
        </w:rPr>
        <w:t>09</w:t>
      </w:r>
      <w:r>
        <w:rPr>
          <w:rFonts w:ascii="宋体" w:hint="eastAsia"/>
          <w:color w:val="auto"/>
          <w:szCs w:val="21"/>
          <w:u w:val="single"/>
          <w:highlight w:val="auto"/>
        </w:rPr>
        <w:t>点</w:t>
      </w:r>
      <w:r>
        <w:rPr>
          <w:rFonts w:ascii="宋体" w:hint="eastAsia"/>
          <w:color w:val="auto"/>
          <w:szCs w:val="21"/>
          <w:u w:val="single"/>
          <w:lang w:val="en-US" w:eastAsia="zh-CN"/>
          <w:highlight w:val="auto"/>
        </w:rPr>
        <w:t>3</w:t>
      </w:r>
      <w:r>
        <w:rPr>
          <w:rFonts w:ascii="宋体" w:hint="eastAsia"/>
          <w:color w:val="auto"/>
          <w:szCs w:val="21"/>
          <w:u w:val="single"/>
          <w:highlight w:val="auto"/>
        </w:rPr>
        <w:t>0分</w:t>
      </w:r>
      <w:r>
        <w:rPr>
          <w:rFonts w:ascii="宋体" w:cs="宋体" w:hint="eastAsia"/>
          <w:bCs/>
          <w:color w:val="auto"/>
          <w:kern w:val="0"/>
          <w:szCs w:val="21"/>
          <w:highlight w:val="auto"/>
        </w:rPr>
        <w:t>（北京时间）</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开标时间：</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u w:val="single"/>
          <w:highlight w:val="auto"/>
        </w:rPr>
        <w:t>年</w:t>
      </w:r>
      <w:r>
        <w:rPr>
          <w:rFonts w:ascii="宋体" w:hint="eastAsia"/>
          <w:color w:val="auto"/>
          <w:szCs w:val="21"/>
          <w:u w:val="single"/>
          <w:lang w:val="en-US" w:eastAsia="zh-CN"/>
          <w:highlight w:val="auto"/>
        </w:rPr>
        <w:t>10</w:t>
      </w:r>
      <w:r>
        <w:rPr>
          <w:rFonts w:ascii="宋体" w:hint="eastAsia"/>
          <w:color w:val="auto"/>
          <w:szCs w:val="21"/>
          <w:u w:val="single"/>
          <w:highlight w:val="auto"/>
        </w:rPr>
        <w:t>月</w:t>
      </w:r>
      <w:r>
        <w:rPr>
          <w:rFonts w:ascii="宋体" w:hint="eastAsia"/>
          <w:color w:val="auto"/>
          <w:szCs w:val="21"/>
          <w:u w:val="single"/>
          <w:lang w:val="en-US" w:eastAsia="zh-CN"/>
          <w:highlight w:val="auto"/>
        </w:rPr>
        <w:t>22</w:t>
      </w:r>
      <w:r>
        <w:rPr>
          <w:rFonts w:ascii="宋体" w:hint="eastAsia"/>
          <w:color w:val="auto"/>
          <w:szCs w:val="21"/>
          <w:u w:val="single"/>
          <w:highlight w:val="auto"/>
        </w:rPr>
        <w:t>日</w:t>
      </w:r>
      <w:r>
        <w:rPr>
          <w:rFonts w:ascii="宋体" w:hint="eastAsia"/>
          <w:color w:val="auto"/>
          <w:szCs w:val="21"/>
          <w:u w:val="single"/>
          <w:lang w:val="en-US" w:eastAsia="zh-CN"/>
          <w:highlight w:val="auto"/>
        </w:rPr>
        <w:t>09</w:t>
      </w:r>
      <w:r>
        <w:rPr>
          <w:rFonts w:ascii="宋体" w:hint="eastAsia"/>
          <w:color w:val="auto"/>
          <w:szCs w:val="21"/>
          <w:u w:val="single"/>
          <w:highlight w:val="auto"/>
        </w:rPr>
        <w:t>点</w:t>
      </w:r>
      <w:r>
        <w:rPr>
          <w:rFonts w:ascii="宋体" w:hint="eastAsia"/>
          <w:color w:val="auto"/>
          <w:szCs w:val="21"/>
          <w:u w:val="single"/>
          <w:lang w:val="en-US" w:eastAsia="zh-CN"/>
          <w:highlight w:val="auto"/>
        </w:rPr>
        <w:t>3</w:t>
      </w:r>
      <w:r>
        <w:rPr>
          <w:rFonts w:ascii="宋体" w:hint="eastAsia"/>
          <w:color w:val="auto"/>
          <w:szCs w:val="21"/>
          <w:u w:val="single"/>
          <w:highlight w:val="auto"/>
        </w:rPr>
        <w:t>0分</w:t>
      </w:r>
      <w:r>
        <w:rPr>
          <w:rFonts w:ascii="宋体" w:cs="宋体" w:hint="eastAsia"/>
          <w:bCs/>
          <w:color w:val="auto"/>
          <w:kern w:val="0"/>
          <w:szCs w:val="21"/>
          <w:highlight w:val="auto"/>
        </w:rPr>
        <w:t>（北京时间）</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地点：大地工程咨询有限公司开标室（嘉兴市秀洲区洪波路1200号万豪广场12楼1204室），招标代理机构提前30分钟开始接收投标文件。</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五、公告期限</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自本公告发布之日起5个工作日。</w:t>
      </w:r>
    </w:p>
    <w:p>
      <w:pPr>
        <w:widowControl/>
        <w:spacing w:line="360" w:lineRule="auto"/>
        <w:jc w:val="left"/>
        <w:rPr>
          <w:rFonts w:ascii="宋体" w:cs="宋体"/>
          <w:b/>
          <w:bCs/>
          <w:color w:val="auto"/>
          <w:kern w:val="0"/>
          <w:szCs w:val="21"/>
          <w:highlight w:val="auto"/>
        </w:rPr>
      </w:pPr>
      <w:r>
        <w:rPr>
          <w:rFonts w:ascii="宋体" w:cs="宋体" w:hint="eastAsia"/>
          <w:b/>
          <w:bCs/>
          <w:color w:val="auto"/>
          <w:kern w:val="0"/>
          <w:szCs w:val="21"/>
          <w:highlight w:val="auto"/>
        </w:rPr>
        <w:t>六、其他补充事宜</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1.供应商认为采购文件使自己的权益受到损害的，可以自收到采购文件之日（发售截止日之后收到采购文件的，以发售截止日为准）或者采购文件公告期限届满之日（公告发布后的第7个工作日）起7个工作日内，以书面形式向采购人和采购代理机构提出质疑。</w:t>
      </w:r>
      <w:bookmarkStart w:id="6" w:name="_Toc10657"/>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2.投标人未被“信用中国”（www.creditchina.gov.cn)、中国政府采购网（www.ccgp.gov.cn）列入失信被执行人、重大税收违法失信主体、政府采购严重违法失信行为记录名单。</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3.未经报名登记并获取采购文件的供应商参与本项目投标，将被拒绝。</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4.本项目招标活动将严格落实节约能源、保护环境、扶持不发达地区和少数民族地区、促进中小企业发展、落实平等对待内外资企业等政府采购政策。</w:t>
      </w:r>
    </w:p>
    <w:p>
      <w:pPr>
        <w:pStyle w:val="22"/>
        <w:rPr>
          <w:color w:val="auto"/>
          <w:highlight w:val="auto"/>
        </w:rPr>
      </w:pPr>
    </w:p>
    <w:p>
      <w:pPr>
        <w:widowControl/>
        <w:spacing w:line="360" w:lineRule="auto"/>
        <w:jc w:val="left"/>
        <w:rPr>
          <w:rFonts w:ascii="宋体" w:cs="宋体"/>
          <w:b/>
          <w:bCs/>
          <w:color w:val="auto"/>
          <w:kern w:val="0"/>
          <w:szCs w:val="21"/>
          <w:highlight w:val="auto"/>
        </w:rPr>
      </w:pPr>
      <w:bookmarkEnd w:id="6"/>
      <w:r>
        <w:rPr>
          <w:rFonts w:ascii="宋体" w:cs="宋体" w:hint="eastAsia"/>
          <w:b/>
          <w:bCs/>
          <w:color w:val="auto"/>
          <w:kern w:val="0"/>
          <w:szCs w:val="21"/>
          <w:highlight w:val="auto"/>
        </w:rPr>
        <w:t>七、对本次招标提出询问，请按以下方式联系。</w:t>
      </w:r>
    </w:p>
    <w:p>
      <w:pPr>
        <w:widowControl/>
        <w:spacing w:line="360" w:lineRule="auto"/>
        <w:ind w:firstLineChars="200" w:firstLine="420"/>
        <w:jc w:val="left"/>
        <w:rPr>
          <w:rFonts w:ascii="宋体" w:cs="宋体"/>
          <w:b/>
          <w:color w:val="auto"/>
          <w:kern w:val="0"/>
          <w:szCs w:val="21"/>
          <w:highlight w:val="auto"/>
        </w:rPr>
      </w:pPr>
      <w:r>
        <w:rPr>
          <w:rFonts w:ascii="宋体" w:cs="宋体" w:hint="eastAsia"/>
          <w:b/>
          <w:color w:val="auto"/>
          <w:kern w:val="0"/>
          <w:szCs w:val="21"/>
          <w:highlight w:val="auto"/>
        </w:rPr>
        <w:t>1.采购人信息</w:t>
      </w:r>
    </w:p>
    <w:p>
      <w:pPr>
        <w:widowControl/>
        <w:spacing w:line="360" w:lineRule="auto"/>
        <w:ind w:firstLineChars="200" w:firstLine="420"/>
        <w:jc w:val="left"/>
        <w:rPr>
          <w:rFonts w:ascii="宋体" w:cs="宋体" w:hint="eastAsia"/>
          <w:bCs/>
          <w:color w:val="auto"/>
          <w:kern w:val="0"/>
          <w:szCs w:val="21"/>
          <w:highlight w:val="auto"/>
        </w:rPr>
      </w:pPr>
      <w:r>
        <w:rPr>
          <w:rFonts w:ascii="宋体" w:cs="宋体" w:hint="eastAsia"/>
          <w:bCs/>
          <w:color w:val="auto"/>
          <w:kern w:val="0"/>
          <w:szCs w:val="21"/>
          <w:highlight w:val="auto"/>
        </w:rPr>
        <w:t>名    称：嘉兴海关综合技术服务中心</w:t>
      </w:r>
    </w:p>
    <w:p>
      <w:pPr>
        <w:widowControl/>
        <w:spacing w:line="360" w:lineRule="auto"/>
        <w:ind w:firstLineChars="200" w:firstLine="420"/>
        <w:jc w:val="left"/>
        <w:rPr>
          <w:rFonts w:ascii="宋体" w:eastAsia="宋体" w:cs="宋体" w:hint="eastAsia"/>
          <w:bCs/>
          <w:color w:val="auto"/>
          <w:kern w:val="0"/>
          <w:szCs w:val="21"/>
          <w:highlight w:val="auto"/>
        </w:rPr>
      </w:pPr>
      <w:r>
        <w:rPr>
          <w:rFonts w:ascii="宋体" w:eastAsia="宋体" w:cs="宋体" w:hint="eastAsia"/>
          <w:bCs/>
          <w:color w:val="auto"/>
          <w:kern w:val="0"/>
          <w:szCs w:val="21"/>
          <w:highlight w:val="auto"/>
        </w:rPr>
        <w:t>联系人：叶</w:t>
      </w:r>
      <w:r>
        <w:rPr>
          <w:rFonts w:ascii="宋体" w:cs="宋体" w:hint="eastAsia"/>
          <w:bCs/>
          <w:color w:val="auto"/>
          <w:kern w:val="0"/>
          <w:szCs w:val="21"/>
          <w:lang w:val="en-US" w:eastAsia="zh-CN"/>
          <w:highlight w:val="auto"/>
        </w:rPr>
        <w:t>先生</w:t>
      </w:r>
      <w:r>
        <w:rPr>
          <w:rFonts w:ascii="宋体" w:eastAsia="宋体" w:cs="宋体" w:hint="eastAsia"/>
          <w:bCs/>
          <w:color w:val="auto"/>
          <w:kern w:val="0"/>
          <w:szCs w:val="21"/>
          <w:lang w:val="en-US" w:eastAsia="zh-CN"/>
          <w:highlight w:val="auto"/>
        </w:rPr>
        <w:t xml:space="preserve">  </w:t>
      </w:r>
      <w:r>
        <w:rPr>
          <w:rFonts w:ascii="宋体" w:eastAsia="宋体" w:cs="宋体" w:hint="eastAsia"/>
          <w:bCs/>
          <w:color w:val="auto"/>
          <w:kern w:val="0"/>
          <w:szCs w:val="21"/>
          <w:highlight w:val="auto"/>
        </w:rPr>
        <w:t xml:space="preserve"> </w:t>
      </w:r>
    </w:p>
    <w:p>
      <w:pPr>
        <w:widowControl/>
        <w:spacing w:line="360" w:lineRule="auto"/>
        <w:ind w:firstLineChars="200" w:firstLine="420"/>
        <w:jc w:val="left"/>
        <w:rPr>
          <w:rFonts w:ascii="宋体" w:eastAsia="宋体" w:cs="宋体" w:hint="eastAsia"/>
          <w:bCs/>
          <w:color w:val="auto"/>
          <w:kern w:val="0"/>
          <w:szCs w:val="21"/>
          <w:lang w:val="en-US" w:eastAsia="zh-CN"/>
          <w:highlight w:val="auto"/>
        </w:rPr>
      </w:pPr>
      <w:r>
        <w:rPr>
          <w:rFonts w:ascii="宋体" w:eastAsia="宋体" w:cs="宋体" w:hint="eastAsia"/>
          <w:bCs/>
          <w:color w:val="auto"/>
          <w:kern w:val="0"/>
          <w:szCs w:val="21"/>
          <w:highlight w:val="auto"/>
        </w:rPr>
        <w:t>联系电话：</w:t>
      </w:r>
      <w:r>
        <w:rPr>
          <w:rFonts w:ascii="宋体" w:eastAsia="宋体" w:cs="宋体" w:hint="eastAsia"/>
          <w:bCs/>
          <w:color w:val="auto"/>
          <w:kern w:val="0"/>
          <w:szCs w:val="21"/>
          <w:lang w:val="en-US" w:eastAsia="zh-CN"/>
          <w:highlight w:val="auto"/>
        </w:rPr>
        <w:t xml:space="preserve">0573-83611046 </w:t>
      </w:r>
    </w:p>
    <w:p>
      <w:pPr>
        <w:widowControl/>
        <w:spacing w:line="360" w:lineRule="auto"/>
        <w:ind w:firstLineChars="200" w:firstLine="420"/>
        <w:jc w:val="left"/>
        <w:rPr>
          <w:rFonts w:ascii="宋体" w:eastAsia="宋体" w:cs="宋体" w:hint="eastAsia"/>
          <w:bCs/>
          <w:color w:val="auto"/>
          <w:kern w:val="0"/>
          <w:szCs w:val="21"/>
          <w:lang w:eastAsia="zh-CN"/>
          <w:highlight w:val="auto"/>
        </w:rPr>
      </w:pPr>
      <w:r>
        <w:rPr>
          <w:rFonts w:ascii="宋体" w:eastAsia="宋体" w:cs="宋体" w:hint="eastAsia"/>
          <w:bCs/>
          <w:color w:val="auto"/>
          <w:kern w:val="0"/>
          <w:szCs w:val="21"/>
          <w:lang w:val="en-US" w:eastAsia="zh-CN"/>
          <w:highlight w:val="auto"/>
        </w:rPr>
        <w:t>质疑联系人：王</w:t>
      </w:r>
      <w:r>
        <w:rPr>
          <w:rFonts w:ascii="宋体" w:cs="宋体" w:hint="eastAsia"/>
          <w:bCs/>
          <w:color w:val="auto"/>
          <w:kern w:val="0"/>
          <w:szCs w:val="21"/>
          <w:lang w:val="en-US" w:eastAsia="zh-CN"/>
          <w:highlight w:val="auto"/>
        </w:rPr>
        <w:t>先生</w:t>
      </w:r>
      <w:r>
        <w:rPr>
          <w:rFonts w:ascii="宋体" w:eastAsia="宋体" w:cs="宋体" w:hint="eastAsia"/>
          <w:bCs/>
          <w:color w:val="auto"/>
          <w:kern w:val="0"/>
          <w:szCs w:val="21"/>
          <w:lang w:val="en-US" w:eastAsia="zh-CN"/>
          <w:highlight w:val="auto"/>
        </w:rPr>
        <w:t xml:space="preserve">  </w:t>
      </w:r>
    </w:p>
    <w:p>
      <w:pPr>
        <w:widowControl/>
        <w:spacing w:line="360" w:lineRule="auto"/>
        <w:ind w:firstLineChars="200" w:firstLine="420"/>
        <w:jc w:val="left"/>
        <w:rPr>
          <w:rFonts w:ascii="宋体" w:eastAsia="宋体" w:cs="宋体" w:hint="eastAsia"/>
          <w:bCs/>
          <w:color w:val="auto"/>
          <w:kern w:val="0"/>
          <w:szCs w:val="21"/>
          <w:lang w:val="en-US" w:eastAsia="zh-CN"/>
          <w:highlight w:val="auto"/>
        </w:rPr>
      </w:pPr>
      <w:r>
        <w:rPr>
          <w:rFonts w:ascii="宋体" w:eastAsia="宋体" w:cs="宋体" w:hint="eastAsia"/>
          <w:bCs/>
          <w:color w:val="auto"/>
          <w:kern w:val="0"/>
          <w:szCs w:val="21"/>
          <w:highlight w:val="auto"/>
        </w:rPr>
        <w:t>监督投诉电话：</w:t>
      </w:r>
      <w:r>
        <w:rPr>
          <w:rFonts w:ascii="宋体" w:eastAsia="宋体" w:cs="宋体" w:hint="eastAsia"/>
          <w:bCs/>
          <w:color w:val="auto"/>
          <w:kern w:val="0"/>
          <w:szCs w:val="21"/>
          <w:lang w:val="en-US" w:eastAsia="zh-CN"/>
          <w:highlight w:val="auto"/>
        </w:rPr>
        <w:t xml:space="preserve">0573-83611110 </w:t>
      </w:r>
    </w:p>
    <w:p>
      <w:pPr>
        <w:widowControl/>
        <w:spacing w:line="360" w:lineRule="auto"/>
        <w:ind w:firstLineChars="200" w:firstLine="420"/>
        <w:jc w:val="left"/>
        <w:rPr>
          <w:rFonts w:ascii="宋体" w:cs="宋体" w:hint="eastAsia"/>
          <w:bCs/>
          <w:color w:val="auto"/>
          <w:kern w:val="0"/>
          <w:szCs w:val="21"/>
          <w:highlight w:val="auto"/>
        </w:rPr>
      </w:pPr>
      <w:r>
        <w:rPr>
          <w:rFonts w:ascii="宋体" w:cs="宋体" w:hint="eastAsia"/>
          <w:bCs/>
          <w:color w:val="auto"/>
          <w:kern w:val="0"/>
          <w:szCs w:val="21"/>
          <w:highlight w:val="auto"/>
        </w:rPr>
        <w:t>地址：浙江省嘉兴市秀洲区昌盛中路516号</w:t>
      </w:r>
    </w:p>
    <w:p>
      <w:pPr>
        <w:widowControl/>
        <w:spacing w:line="360" w:lineRule="auto"/>
        <w:ind w:firstLineChars="200" w:firstLine="420"/>
        <w:jc w:val="left"/>
        <w:rPr>
          <w:rFonts w:ascii="宋体" w:cs="宋体"/>
          <w:b/>
          <w:color w:val="auto"/>
          <w:kern w:val="0"/>
          <w:szCs w:val="21"/>
          <w:highlight w:val="auto"/>
        </w:rPr>
      </w:pPr>
      <w:r>
        <w:rPr>
          <w:rFonts w:ascii="宋体" w:cs="宋体" w:hint="eastAsia"/>
          <w:b/>
          <w:color w:val="auto"/>
          <w:kern w:val="0"/>
          <w:szCs w:val="21"/>
          <w:highlight w:val="auto"/>
        </w:rPr>
        <w:t>2.采购代理机构信息</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名    称：大地工程咨询有限公司</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联系人：杨丽莉</w:t>
      </w:r>
    </w:p>
    <w:p>
      <w:pPr>
        <w:widowControl/>
        <w:spacing w:line="360" w:lineRule="auto"/>
        <w:ind w:firstLineChars="200" w:firstLine="420"/>
        <w:jc w:val="left"/>
        <w:rPr>
          <w:rFonts w:ascii="宋体" w:eastAsia="宋体" w:cs="宋体"/>
          <w:bCs/>
          <w:color w:val="auto"/>
          <w:kern w:val="0"/>
          <w:szCs w:val="21"/>
          <w:lang w:val="en-US" w:eastAsia="zh-CN"/>
          <w:highlight w:val="auto"/>
        </w:rPr>
      </w:pPr>
      <w:r>
        <w:rPr>
          <w:rFonts w:ascii="宋体" w:cs="宋体" w:hint="eastAsia"/>
          <w:bCs/>
          <w:color w:val="auto"/>
          <w:kern w:val="0"/>
          <w:szCs w:val="21"/>
          <w:highlight w:val="auto"/>
        </w:rPr>
        <w:t>联系电话：0573-82133572</w:t>
      </w:r>
      <w:r>
        <w:rPr>
          <w:rFonts w:ascii="宋体" w:cs="宋体" w:hint="eastAsia"/>
          <w:bCs/>
          <w:color w:val="auto"/>
          <w:kern w:val="0"/>
          <w:szCs w:val="21"/>
          <w:lang w:eastAsia="zh-CN"/>
          <w:highlight w:val="auto"/>
        </w:rPr>
        <w:t>、</w:t>
      </w:r>
      <w:r>
        <w:rPr>
          <w:rFonts w:ascii="宋体" w:cs="宋体" w:hint="eastAsia"/>
          <w:bCs/>
          <w:color w:val="auto"/>
          <w:kern w:val="0"/>
          <w:szCs w:val="21"/>
          <w:lang w:val="en-US" w:eastAsia="zh-CN"/>
          <w:highlight w:val="auto"/>
        </w:rPr>
        <w:t>15068182356</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传真：0573-82133572</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地址：嘉兴市秀洲区洪波路1200号万豪广场12楼1204室</w:t>
      </w:r>
    </w:p>
    <w:p>
      <w:pPr>
        <w:widowControl/>
        <w:spacing w:line="360" w:lineRule="auto"/>
        <w:ind w:firstLineChars="200" w:firstLine="420"/>
        <w:jc w:val="left"/>
        <w:rPr>
          <w:rFonts w:ascii="宋体" w:cs="宋体"/>
          <w:bCs/>
          <w:color w:val="auto"/>
          <w:kern w:val="0"/>
          <w:szCs w:val="21"/>
          <w:highlight w:val="auto"/>
        </w:rPr>
      </w:pPr>
      <w:r>
        <w:rPr>
          <w:rFonts w:ascii="宋体" w:cs="宋体" w:hint="eastAsia"/>
          <w:bCs/>
          <w:color w:val="auto"/>
          <w:kern w:val="0"/>
          <w:szCs w:val="21"/>
          <w:highlight w:val="auto"/>
        </w:rPr>
        <w:t>质疑联系人：李斌； 电话：0573-82133572</w:t>
      </w:r>
    </w:p>
    <w:p>
      <w:pPr>
        <w:widowControl/>
        <w:adjustRightInd w:val="0"/>
        <w:snapToGrid w:val="0"/>
        <w:spacing w:line="360" w:lineRule="auto"/>
        <w:ind w:firstLineChars="200" w:firstLine="420"/>
        <w:jc w:val="left"/>
        <w:rPr>
          <w:rFonts w:ascii="宋体" w:cs="楷体"/>
          <w:color w:val="auto"/>
          <w:kern w:val="0"/>
          <w:szCs w:val="21"/>
          <w:highlight w:val="auto"/>
        </w:rPr>
      </w:pPr>
    </w:p>
    <w:p>
      <w:pPr>
        <w:wordWrap w:val="0"/>
        <w:adjustRightInd w:val="0"/>
        <w:snapToGrid w:val="0"/>
        <w:spacing w:line="360" w:lineRule="auto"/>
        <w:ind w:firstLine="200"/>
        <w:jc w:val="center"/>
        <w:rPr>
          <w:rFonts w:ascii="宋体" w:cs="楷体"/>
          <w:color w:val="auto"/>
          <w:kern w:val="0"/>
          <w:szCs w:val="21"/>
          <w:highlight w:val="auto"/>
        </w:rPr>
      </w:pPr>
      <w:r>
        <w:rPr>
          <w:rFonts w:ascii="宋体" w:cs="宋体"/>
          <w:color w:val="auto"/>
          <w:kern w:val="0"/>
          <w:szCs w:val="21"/>
          <w:highlight w:val="auto"/>
        </w:rPr>
        <w:t xml:space="preserve">                                                </w:t>
      </w:r>
      <w:r>
        <w:rPr>
          <w:rFonts w:ascii="宋体" w:cs="楷体"/>
          <w:color w:val="auto"/>
          <w:kern w:val="0"/>
          <w:szCs w:val="21"/>
          <w:highlight w:val="auto"/>
        </w:rPr>
        <w:t xml:space="preserve">      </w:t>
      </w:r>
    </w:p>
    <w:p>
      <w:pPr>
        <w:adjustRightInd w:val="0"/>
        <w:snapToGrid w:val="0"/>
        <w:spacing w:beforeLines="50" w:before="190" w:afterLines="50" w:after="190" w:line="360" w:lineRule="auto"/>
        <w:jc w:val="center"/>
        <w:outlineLvl w:val="0"/>
        <w:rPr>
          <w:rFonts w:ascii="宋体"/>
          <w:b/>
          <w:color w:val="auto"/>
          <w:sz w:val="32"/>
          <w:szCs w:val="32"/>
          <w:highlight w:val="auto"/>
        </w:rPr>
        <w:sectPr>
          <w:pgSz w:w="11906" w:h="16838"/>
          <w:pgMar w:top="1588" w:right="1701" w:bottom="1588" w:left="1701" w:header="851" w:footer="992" w:gutter="0"/>
          <w:docGrid w:type="linesAndChars" w:linePitch="380" w:charSpace="0"/>
        </w:sectPr>
      </w:pPr>
      <w:bookmarkStart w:id="7" w:name="_Toc107822483"/>
      <w:bookmarkStart w:id="8" w:name="_Toc226969276"/>
      <w:bookmarkStart w:id="9" w:name="_Toc227057883"/>
    </w:p>
    <w:p>
      <w:pPr>
        <w:adjustRightInd w:val="0"/>
        <w:snapToGrid w:val="0"/>
        <w:spacing w:beforeLines="50" w:before="156" w:afterLines="50" w:after="156" w:line="360" w:lineRule="auto"/>
        <w:jc w:val="center"/>
        <w:outlineLvl w:val="0"/>
        <w:rPr>
          <w:rFonts w:ascii="宋体"/>
          <w:b/>
          <w:color w:val="auto"/>
          <w:sz w:val="32"/>
          <w:szCs w:val="32"/>
          <w:highlight w:val="auto"/>
        </w:rPr>
      </w:pPr>
      <w:bookmarkStart w:id="10" w:name="_Toc60757519"/>
      <w:bookmarkStart w:id="11" w:name="_Toc8396"/>
      <w:r>
        <w:rPr>
          <w:rFonts w:ascii="宋体" w:hint="eastAsia"/>
          <w:b/>
          <w:color w:val="auto"/>
          <w:sz w:val="32"/>
          <w:szCs w:val="32"/>
          <w:highlight w:val="auto"/>
        </w:rPr>
        <w:t>第二章</w:t>
      </w:r>
      <w:r>
        <w:rPr>
          <w:rFonts w:ascii="宋体"/>
          <w:b/>
          <w:color w:val="auto"/>
          <w:sz w:val="32"/>
          <w:szCs w:val="32"/>
          <w:highlight w:val="auto"/>
        </w:rPr>
        <w:t xml:space="preserve">  </w:t>
      </w:r>
      <w:r>
        <w:rPr>
          <w:rFonts w:ascii="宋体" w:hint="eastAsia"/>
          <w:b/>
          <w:color w:val="auto"/>
          <w:sz w:val="32"/>
          <w:szCs w:val="32"/>
          <w:highlight w:val="auto"/>
        </w:rPr>
        <w:t>投标人须知</w:t>
      </w:r>
      <w:bookmarkEnd w:id="7"/>
      <w:bookmarkEnd w:id="8"/>
      <w:bookmarkEnd w:id="9"/>
      <w:bookmarkEnd w:id="10"/>
      <w:bookmarkEnd w:id="11"/>
    </w:p>
    <w:p>
      <w:pPr>
        <w:pStyle w:val="2"/>
        <w:numPr>
          <w:ilvl w:val="0"/>
          <w:numId w:val="0"/>
        </w:numPr>
        <w:tabs>
          <w:tab w:val="clear" w:pos="425"/>
        </w:tabs>
        <w:adjustRightInd w:val="0"/>
        <w:snapToGrid w:val="0"/>
        <w:spacing w:beforeLines="50" w:before="156" w:after="0" w:line="360" w:lineRule="auto"/>
        <w:ind w:left="567"/>
        <w:rPr>
          <w:rFonts w:ascii="宋体" w:eastAsia="宋体"/>
          <w:color w:val="auto"/>
          <w:sz w:val="21"/>
          <w:szCs w:val="21"/>
          <w:highlight w:val="auto"/>
        </w:rPr>
      </w:pPr>
      <w:bookmarkStart w:id="12" w:name="_Toc60757520"/>
      <w:bookmarkStart w:id="13" w:name="_Toc25811"/>
      <w:bookmarkStart w:id="14" w:name="_Toc226969277"/>
      <w:bookmarkStart w:id="15" w:name="_Toc227057884"/>
      <w:r>
        <w:rPr>
          <w:rFonts w:ascii="宋体" w:eastAsia="宋体" w:hint="eastAsia"/>
          <w:color w:val="auto"/>
          <w:sz w:val="21"/>
          <w:szCs w:val="21"/>
          <w:highlight w:val="auto"/>
        </w:rPr>
        <w:t>投标人须知前附表</w:t>
      </w:r>
      <w:bookmarkEnd w:id="12"/>
      <w:bookmarkEnd w:id="13"/>
      <w:bookmarkEnd w:id="14"/>
      <w:bookmarkEnd w:id="15"/>
    </w:p>
    <w:tbl>
      <w:tblPr>
        <w:jc w:val="center"/>
        <w:tblW w:w="8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1800"/>
        <w:gridCol w:w="6383"/>
      </w:tblGrid>
      <w:tr>
        <w:trPr>
          <w:cantSplit/>
          <w:trHeight w:val="431"/>
          <w:tblHeader/>
        </w:trPr>
        <w:tc>
          <w:tcPr>
            <w:tcW w:w="648"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序号</w:t>
            </w:r>
          </w:p>
        </w:tc>
        <w:tc>
          <w:tcPr>
            <w:tcW w:w="1800"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项</w:t>
            </w:r>
            <w:r>
              <w:rPr>
                <w:rFonts w:ascii="宋体"/>
                <w:b/>
                <w:bCs/>
                <w:color w:val="auto"/>
                <w:szCs w:val="21"/>
                <w:highlight w:val="auto"/>
              </w:rPr>
              <w:t xml:space="preserve">   </w:t>
            </w:r>
            <w:r>
              <w:rPr>
                <w:rFonts w:ascii="宋体" w:hint="eastAsia"/>
                <w:b/>
                <w:bCs/>
                <w:color w:val="auto"/>
                <w:szCs w:val="21"/>
                <w:highlight w:val="auto"/>
              </w:rPr>
              <w:t>目</w:t>
            </w:r>
          </w:p>
        </w:tc>
        <w:tc>
          <w:tcPr>
            <w:tcW w:w="6383" w:type="dxa"/>
            <w:tcBorders>
              <w:tl2br w:val="nil"/>
              <w:tr2bl w:val="nil"/>
            </w:tcBorders>
            <w:vAlign w:val="center"/>
          </w:tcPr>
          <w:p>
            <w:pPr>
              <w:adjustRightInd w:val="0"/>
              <w:snapToGrid w:val="0"/>
              <w:jc w:val="center"/>
              <w:rPr>
                <w:rFonts w:ascii="宋体"/>
                <w:b/>
                <w:bCs/>
                <w:color w:val="auto"/>
                <w:szCs w:val="21"/>
                <w:highlight w:val="auto"/>
              </w:rPr>
            </w:pPr>
            <w:r>
              <w:rPr>
                <w:rFonts w:ascii="宋体" w:hint="eastAsia"/>
                <w:b/>
                <w:bCs/>
                <w:color w:val="auto"/>
                <w:szCs w:val="21"/>
                <w:highlight w:val="auto"/>
              </w:rPr>
              <w:t>内</w:t>
            </w:r>
            <w:r>
              <w:rPr>
                <w:rFonts w:ascii="宋体"/>
                <w:b/>
                <w:bCs/>
                <w:color w:val="auto"/>
                <w:szCs w:val="21"/>
                <w:highlight w:val="auto"/>
              </w:rPr>
              <w:t xml:space="preserve">       </w:t>
            </w:r>
            <w:r>
              <w:rPr>
                <w:rFonts w:ascii="宋体" w:hint="eastAsia"/>
                <w:b/>
                <w:bCs/>
                <w:color w:val="auto"/>
                <w:szCs w:val="21"/>
                <w:highlight w:val="auto"/>
              </w:rPr>
              <w:t>容</w:t>
            </w:r>
          </w:p>
        </w:tc>
      </w:tr>
      <w:tr>
        <w:trPr>
          <w:trHeight w:val="56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项目名称</w:t>
            </w:r>
          </w:p>
        </w:tc>
        <w:tc>
          <w:tcPr>
            <w:tcW w:w="6383" w:type="dxa"/>
            <w:tcBorders>
              <w:tl2br w:val="nil"/>
              <w:tr2bl w:val="nil"/>
            </w:tcBorders>
            <w:vAlign w:val="center"/>
          </w:tcPr>
          <w:p>
            <w:pPr>
              <w:adjustRightInd w:val="0"/>
              <w:snapToGrid w:val="0"/>
              <w:spacing w:line="360" w:lineRule="auto"/>
              <w:rPr>
                <w:rFonts w:ascii="宋体" w:eastAsia="宋体" w:cs="楷体" w:hint="eastAsia"/>
                <w:color w:val="auto"/>
                <w:kern w:val="0"/>
                <w:szCs w:val="21"/>
                <w:lang w:eastAsia="zh-CN"/>
                <w:highlight w:val="auto"/>
              </w:rPr>
            </w:pPr>
            <w:r>
              <w:rPr>
                <w:rFonts w:ascii="宋体" w:cs="楷体" w:hint="eastAsia"/>
                <w:color w:val="auto"/>
                <w:kern w:val="0"/>
                <w:szCs w:val="21"/>
                <w:lang w:eastAsia="zh-CN"/>
                <w:highlight w:val="auto"/>
              </w:rPr>
              <w:t>嘉兴海关综合技术服务中心2025年实验室仪器设备更新项目（二）</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项目地点</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楷体" w:hint="eastAsia"/>
                <w:color w:val="auto"/>
                <w:kern w:val="0"/>
                <w:szCs w:val="21"/>
                <w:highlight w:val="auto"/>
              </w:rPr>
              <w:t>浙江嘉兴</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3</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项目编号</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楷体" w:hint="eastAsia"/>
                <w:color w:val="auto"/>
                <w:kern w:val="0"/>
                <w:szCs w:val="21"/>
                <w:lang w:eastAsia="zh-CN"/>
                <w:highlight w:val="auto"/>
              </w:rPr>
              <w:t>大地-DDZX-JX（2025）第137号</w:t>
            </w:r>
            <w:r>
              <w:rPr>
                <w:rFonts w:ascii="宋体" w:cs="楷体"/>
                <w:color w:val="auto"/>
                <w:kern w:val="0"/>
                <w:szCs w:val="21"/>
                <w:highlight w:val="auto"/>
              </w:rPr>
              <w:t xml:space="preserve"> </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4</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采购方式</w:t>
            </w:r>
          </w:p>
        </w:tc>
        <w:tc>
          <w:tcPr>
            <w:tcW w:w="6383" w:type="dxa"/>
            <w:tcBorders>
              <w:tl2br w:val="nil"/>
              <w:tr2bl w:val="nil"/>
            </w:tcBorders>
            <w:vAlign w:val="center"/>
          </w:tcPr>
          <w:p>
            <w:pPr>
              <w:adjustRightInd w:val="0"/>
              <w:snapToGrid w:val="0"/>
              <w:spacing w:line="360" w:lineRule="auto"/>
              <w:rPr>
                <w:rFonts w:ascii="宋体"/>
                <w:bCs/>
                <w:color w:val="auto"/>
                <w:szCs w:val="21"/>
                <w:highlight w:val="auto"/>
              </w:rPr>
            </w:pPr>
            <w:r>
              <w:rPr>
                <w:rFonts w:ascii="宋体" w:hint="eastAsia"/>
                <w:bCs/>
                <w:color w:val="auto"/>
                <w:szCs w:val="21"/>
                <w:highlight w:val="auto"/>
              </w:rPr>
              <w:t>公开招标</w:t>
            </w:r>
          </w:p>
        </w:tc>
      </w:tr>
      <w:tr>
        <w:trPr>
          <w:trHeight w:val="514"/>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5</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招标内容</w:t>
            </w:r>
          </w:p>
        </w:tc>
        <w:tc>
          <w:tcPr>
            <w:tcW w:w="6383" w:type="dxa"/>
            <w:tcBorders>
              <w:tl2br w:val="nil"/>
              <w:tr2bl w:val="nil"/>
            </w:tcBorders>
            <w:vAlign w:val="center"/>
          </w:tcPr>
          <w:p>
            <w:pPr>
              <w:adjustRightInd w:val="0"/>
              <w:snapToGrid w:val="0"/>
              <w:spacing w:line="360" w:lineRule="auto"/>
              <w:rPr>
                <w:rFonts w:ascii="宋体" w:cs="楷体"/>
                <w:bCs/>
                <w:color w:val="auto"/>
                <w:kern w:val="0"/>
                <w:szCs w:val="21"/>
                <w:highlight w:val="auto"/>
              </w:rPr>
            </w:pPr>
            <w:r>
              <w:rPr>
                <w:rFonts w:ascii="宋体" w:hint="eastAsia"/>
                <w:color w:val="auto"/>
                <w:szCs w:val="21"/>
                <w:lang w:eastAsia="zh-CN"/>
                <w:highlight w:val="auto"/>
              </w:rPr>
              <w:t>嘉兴海关综合技术服务中心2025年实验室仪器设备更新项目（二）</w:t>
            </w:r>
            <w:r>
              <w:rPr>
                <w:rFonts w:ascii="宋体"/>
                <w:color w:val="auto"/>
                <w:szCs w:val="21"/>
                <w:highlight w:val="auto"/>
              </w:rPr>
              <w:t>,</w:t>
            </w:r>
            <w:r>
              <w:rPr>
                <w:rFonts w:ascii="宋体" w:hint="eastAsia"/>
                <w:color w:val="auto"/>
                <w:szCs w:val="21"/>
                <w:highlight w:val="auto"/>
              </w:rPr>
              <w:t>详见采购文件</w:t>
            </w:r>
            <w:r>
              <w:rPr>
                <w:rFonts w:ascii="宋体" w:hint="eastAsia"/>
                <w:color w:val="auto"/>
                <w:szCs w:val="21"/>
                <w:lang w:eastAsia="zh-CN"/>
                <w:highlight w:val="auto"/>
              </w:rPr>
              <w:t>采购需求</w:t>
            </w:r>
            <w:r>
              <w:rPr>
                <w:rFonts w:ascii="宋体" w:hint="eastAsia"/>
                <w:color w:val="auto"/>
                <w:szCs w:val="21"/>
                <w:highlight w:val="auto"/>
              </w:rPr>
              <w:t>。</w:t>
            </w:r>
          </w:p>
        </w:tc>
      </w:tr>
      <w:tr>
        <w:trPr>
          <w:trHeight w:val="56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6</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交货期</w:t>
            </w:r>
          </w:p>
        </w:tc>
        <w:tc>
          <w:tcPr>
            <w:tcW w:w="6383" w:type="dxa"/>
            <w:tcBorders>
              <w:tl2br w:val="nil"/>
              <w:tr2bl w:val="nil"/>
            </w:tcBorders>
            <w:vAlign w:val="center"/>
          </w:tcPr>
          <w:p>
            <w:pPr>
              <w:adjustRightInd w:val="0"/>
              <w:snapToGrid w:val="0"/>
              <w:spacing w:line="360" w:lineRule="auto"/>
              <w:rPr>
                <w:rFonts w:ascii="宋体" w:cs="楷体"/>
                <w:color w:val="auto"/>
                <w:kern w:val="0"/>
                <w:szCs w:val="21"/>
                <w:highlight w:val="auto"/>
              </w:rPr>
            </w:pPr>
            <w:r>
              <w:rPr>
                <w:rFonts w:ascii="宋体" w:cs="宋体" w:hint="eastAsia"/>
                <w:color w:val="auto"/>
                <w:spacing w:val="-6"/>
                <w:szCs w:val="21"/>
                <w:highlight w:val="auto"/>
              </w:rPr>
              <w:t>详见招标公告</w:t>
            </w:r>
          </w:p>
        </w:tc>
      </w:tr>
      <w:tr>
        <w:trPr>
          <w:trHeight w:val="52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7</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资金来源</w:t>
            </w:r>
          </w:p>
        </w:tc>
        <w:tc>
          <w:tcPr>
            <w:tcW w:w="6383"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财政资金</w:t>
            </w:r>
          </w:p>
        </w:tc>
      </w:tr>
      <w:tr>
        <w:trPr>
          <w:trHeight w:val="52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8</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cs="宋体" w:hint="eastAsia"/>
                <w:color w:val="auto"/>
                <w:szCs w:val="21"/>
                <w:highlight w:val="auto"/>
              </w:rPr>
              <w:t>▲</w:t>
            </w:r>
            <w:r>
              <w:rPr>
                <w:rFonts w:ascii="宋体" w:hint="eastAsia"/>
                <w:color w:val="auto"/>
                <w:szCs w:val="21"/>
                <w:highlight w:val="auto"/>
              </w:rPr>
              <w:t>采购预算</w:t>
            </w:r>
          </w:p>
        </w:tc>
        <w:tc>
          <w:tcPr>
            <w:tcW w:w="6383"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b/>
                <w:bCs/>
                <w:snapToGrid w:val="0"/>
                <w:color w:val="auto"/>
                <w:kern w:val="0"/>
                <w:szCs w:val="21"/>
                <w:highlight w:val="auto"/>
              </w:rPr>
              <w:t>本项目预算：</w:t>
            </w:r>
            <w:r>
              <w:rPr>
                <w:rFonts w:ascii="宋体" w:hint="eastAsia"/>
                <w:b/>
                <w:bCs/>
                <w:snapToGrid w:val="0"/>
                <w:color w:val="auto"/>
                <w:kern w:val="0"/>
                <w:szCs w:val="21"/>
                <w:lang w:eastAsia="zh-CN"/>
                <w:highlight w:val="auto"/>
              </w:rPr>
              <w:t>82.0000</w:t>
            </w:r>
            <w:r>
              <w:rPr>
                <w:rFonts w:ascii="宋体" w:hint="eastAsia"/>
                <w:b/>
                <w:bCs/>
                <w:snapToGrid w:val="0"/>
                <w:color w:val="auto"/>
                <w:kern w:val="0"/>
                <w:szCs w:val="21"/>
                <w:highlight w:val="auto"/>
              </w:rPr>
              <w:t>万元</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其中：</w:t>
            </w:r>
            <w:r>
              <w:rPr>
                <w:rFonts w:ascii="宋体" w:hint="eastAsia"/>
                <w:b/>
                <w:bCs/>
                <w:snapToGrid w:val="0"/>
                <w:color w:val="auto"/>
                <w:kern w:val="0"/>
                <w:szCs w:val="21"/>
                <w:highlight w:val="auto"/>
              </w:rPr>
              <w:t>生物安全柜：</w:t>
            </w:r>
            <w:r>
              <w:rPr>
                <w:rFonts w:ascii="宋体" w:hint="eastAsia"/>
                <w:b/>
                <w:bCs/>
                <w:snapToGrid w:val="0"/>
                <w:color w:val="auto"/>
                <w:kern w:val="0"/>
                <w:szCs w:val="21"/>
                <w:lang w:val="en-US" w:eastAsia="zh-CN"/>
                <w:highlight w:val="auto"/>
              </w:rPr>
              <w:t>11</w:t>
            </w:r>
            <w:r>
              <w:rPr>
                <w:rFonts w:ascii="宋体" w:hint="eastAsia"/>
                <w:b/>
                <w:bCs/>
                <w:snapToGrid w:val="0"/>
                <w:color w:val="auto"/>
                <w:kern w:val="0"/>
                <w:szCs w:val="21"/>
                <w:highlight w:val="auto"/>
              </w:rPr>
              <w:t>万元</w:t>
            </w:r>
            <w:r>
              <w:rPr>
                <w:rFonts w:ascii="宋体" w:hint="eastAsia"/>
                <w:b/>
                <w:bCs/>
                <w:snapToGrid w:val="0"/>
                <w:color w:val="auto"/>
                <w:kern w:val="0"/>
                <w:szCs w:val="21"/>
                <w:lang w:val="en-US" w:eastAsia="zh-CN"/>
                <w:highlight w:val="auto"/>
              </w:rPr>
              <w:t>；</w:t>
            </w:r>
            <w:r>
              <w:rPr>
                <w:rFonts w:ascii="宋体" w:hint="eastAsia"/>
                <w:b/>
                <w:bCs/>
                <w:snapToGrid w:val="0"/>
                <w:color w:val="auto"/>
                <w:kern w:val="0"/>
                <w:szCs w:val="21"/>
                <w:highlight w:val="auto"/>
              </w:rPr>
              <w:t>恒温恒湿培养箱：</w:t>
            </w:r>
            <w:r>
              <w:rPr>
                <w:rFonts w:ascii="宋体" w:hint="eastAsia"/>
                <w:b/>
                <w:bCs/>
                <w:snapToGrid w:val="0"/>
                <w:color w:val="auto"/>
                <w:kern w:val="0"/>
                <w:szCs w:val="21"/>
                <w:lang w:val="en-US" w:eastAsia="zh-CN"/>
                <w:highlight w:val="auto"/>
              </w:rPr>
              <w:t>15</w:t>
            </w:r>
            <w:r>
              <w:rPr>
                <w:rFonts w:ascii="宋体" w:hint="eastAsia"/>
                <w:b/>
                <w:bCs/>
                <w:snapToGrid w:val="0"/>
                <w:color w:val="auto"/>
                <w:kern w:val="0"/>
                <w:szCs w:val="21"/>
                <w:highlight w:val="auto"/>
              </w:rPr>
              <w:t>万元；台式冷冻离心机</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14万元</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highlight w:val="auto"/>
              </w:rPr>
              <w:t>纯水/超纯水机</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lang w:val="en-US" w:eastAsia="zh-CN"/>
                <w:highlight w:val="auto"/>
              </w:rPr>
              <w:t>24万元；</w:t>
            </w:r>
            <w:r>
              <w:rPr>
                <w:rFonts w:ascii="宋体" w:hint="eastAsia"/>
                <w:b/>
                <w:bCs/>
                <w:snapToGrid w:val="0"/>
                <w:color w:val="auto"/>
                <w:kern w:val="0"/>
                <w:szCs w:val="21"/>
                <w:highlight w:val="auto"/>
              </w:rPr>
              <w:t>紫外可见分光光度计：</w:t>
            </w:r>
            <w:r>
              <w:rPr>
                <w:rFonts w:ascii="宋体" w:hint="eastAsia"/>
                <w:b/>
                <w:bCs/>
                <w:snapToGrid w:val="0"/>
                <w:color w:val="auto"/>
                <w:kern w:val="0"/>
                <w:szCs w:val="21"/>
                <w:lang w:val="en-US" w:eastAsia="zh-CN"/>
                <w:highlight w:val="auto"/>
              </w:rPr>
              <w:t>18</w:t>
            </w:r>
            <w:r>
              <w:rPr>
                <w:rFonts w:ascii="宋体" w:hint="eastAsia"/>
                <w:b/>
                <w:bCs/>
                <w:snapToGrid w:val="0"/>
                <w:color w:val="auto"/>
                <w:kern w:val="0"/>
                <w:szCs w:val="21"/>
                <w:highlight w:val="auto"/>
              </w:rPr>
              <w:t>万元</w:t>
            </w:r>
            <w:r>
              <w:rPr>
                <w:rFonts w:ascii="宋体" w:hint="eastAsia"/>
                <w:b/>
                <w:bCs/>
                <w:snapToGrid w:val="0"/>
                <w:color w:val="auto"/>
                <w:kern w:val="0"/>
                <w:szCs w:val="21"/>
                <w:lang w:eastAsia="zh-CN"/>
                <w:highlight w:val="auto"/>
              </w:rPr>
              <w:t>）</w:t>
            </w:r>
            <w:r>
              <w:rPr>
                <w:rFonts w:ascii="宋体" w:hint="eastAsia"/>
                <w:b/>
                <w:bCs/>
                <w:snapToGrid w:val="0"/>
                <w:color w:val="auto"/>
                <w:kern w:val="0"/>
                <w:szCs w:val="21"/>
                <w:highlight w:val="auto"/>
              </w:rPr>
              <w:t>；单个设备</w:t>
            </w:r>
            <w:r>
              <w:rPr>
                <w:rFonts w:ascii="宋体" w:hint="eastAsia"/>
                <w:b/>
                <w:bCs/>
                <w:snapToGrid w:val="0"/>
                <w:color w:val="auto"/>
                <w:kern w:val="0"/>
                <w:szCs w:val="21"/>
                <w:lang w:val="en-US" w:eastAsia="zh-CN"/>
                <w:highlight w:val="auto"/>
              </w:rPr>
              <w:t>投标报</w:t>
            </w:r>
            <w:r>
              <w:rPr>
                <w:rFonts w:ascii="宋体" w:hint="eastAsia"/>
                <w:b/>
                <w:bCs/>
                <w:snapToGrid w:val="0"/>
                <w:color w:val="auto"/>
                <w:kern w:val="0"/>
                <w:szCs w:val="21"/>
                <w:highlight w:val="auto"/>
              </w:rPr>
              <w:t>价超过预算价的作无效标处理。</w:t>
            </w:r>
          </w:p>
        </w:tc>
      </w:tr>
      <w:tr>
        <w:trPr>
          <w:trHeight w:val="986"/>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9</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资格审查方式</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资格后审。</w:t>
            </w:r>
          </w:p>
          <w:p>
            <w:pPr>
              <w:adjustRightInd w:val="0"/>
              <w:snapToGrid w:val="0"/>
              <w:spacing w:line="360" w:lineRule="auto"/>
              <w:rPr>
                <w:rFonts w:ascii="宋体"/>
                <w:color w:val="auto"/>
                <w:szCs w:val="21"/>
                <w:highlight w:val="auto"/>
              </w:rPr>
            </w:pPr>
            <w:r>
              <w:rPr>
                <w:rFonts w:ascii="宋体" w:hint="eastAsia"/>
                <w:color w:val="auto"/>
                <w:szCs w:val="21"/>
                <w:highlight w:val="auto"/>
              </w:rPr>
              <w:t>资格后审是指在开标后由评标委员会根据采购文件的规定对供应商进行的资格审查，资格后审不合格的供应商，由评标委员会对其投标作无效标处理。</w:t>
            </w:r>
          </w:p>
        </w:tc>
      </w:tr>
      <w:tr>
        <w:trPr>
          <w:trHeight w:val="1206"/>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10</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踏勘现场</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采购人不组织现场踏勘。投标人如有需要，经采购人同意后可自行前往，踏勘期间发生的费用或意外导致伤亡等一切责任和损失均由投标人自负。</w:t>
            </w:r>
          </w:p>
        </w:tc>
      </w:tr>
      <w:tr>
        <w:trPr>
          <w:trHeight w:val="923"/>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11</w:t>
            </w:r>
          </w:p>
        </w:tc>
        <w:tc>
          <w:tcPr>
            <w:tcW w:w="1800" w:type="dxa"/>
            <w:tcBorders>
              <w:tl2br w:val="nil"/>
              <w:tr2bl w:val="nil"/>
            </w:tcBorders>
            <w:vAlign w:val="center"/>
          </w:tcPr>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投标答疑</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供应商如认为采购文件表述不清晰，必须在</w:t>
            </w:r>
            <w:r>
              <w:rPr>
                <w:rFonts w:ascii="宋体" w:hint="eastAsia"/>
                <w:color w:val="auto"/>
                <w:szCs w:val="21"/>
                <w:u w:val="single"/>
                <w:highlight w:val="auto"/>
              </w:rPr>
              <w:t>202</w:t>
            </w:r>
            <w:r>
              <w:rPr>
                <w:rFonts w:ascii="宋体" w:hint="eastAsia"/>
                <w:color w:val="auto"/>
                <w:szCs w:val="21"/>
                <w:u w:val="single"/>
                <w:lang w:val="en-US" w:eastAsia="zh-CN"/>
                <w:highlight w:val="auto"/>
              </w:rPr>
              <w:t>5</w:t>
            </w:r>
            <w:r>
              <w:rPr>
                <w:rFonts w:ascii="宋体" w:hint="eastAsia"/>
                <w:color w:val="auto"/>
                <w:szCs w:val="21"/>
                <w:highlight w:val="auto"/>
              </w:rPr>
              <w:t>年</w:t>
            </w:r>
            <w:r>
              <w:rPr>
                <w:rFonts w:ascii="宋体" w:hint="eastAsia"/>
                <w:color w:val="auto"/>
                <w:szCs w:val="21"/>
                <w:u w:val="single"/>
                <w:highlight w:val="auto"/>
              </w:rPr>
              <w:t xml:space="preserve"> </w:t>
            </w:r>
            <w:r>
              <w:rPr>
                <w:rFonts w:ascii="宋体" w:hint="eastAsia"/>
                <w:color w:val="auto"/>
                <w:szCs w:val="21"/>
                <w:u w:val="single"/>
                <w:lang w:val="en-US" w:eastAsia="zh-CN"/>
                <w:highlight w:val="auto"/>
              </w:rPr>
              <w:t>10</w:t>
            </w:r>
            <w:r>
              <w:rPr>
                <w:rFonts w:ascii="宋体" w:hint="eastAsia"/>
                <w:color w:val="auto"/>
                <w:szCs w:val="21"/>
                <w:u w:val="single"/>
                <w:highlight w:val="auto"/>
              </w:rPr>
              <w:t xml:space="preserve"> </w:t>
            </w:r>
            <w:r>
              <w:rPr>
                <w:rFonts w:ascii="宋体" w:hint="eastAsia"/>
                <w:color w:val="auto"/>
                <w:szCs w:val="21"/>
                <w:highlight w:val="auto"/>
              </w:rPr>
              <w:t>月</w:t>
            </w:r>
            <w:r>
              <w:rPr>
                <w:rFonts w:ascii="宋体" w:hint="eastAsia"/>
                <w:color w:val="auto"/>
                <w:szCs w:val="21"/>
                <w:u w:val="single"/>
                <w:lang w:val="en-US" w:eastAsia="zh-CN"/>
                <w:highlight w:val="auto"/>
              </w:rPr>
              <w:t>4</w:t>
            </w:r>
            <w:r>
              <w:rPr>
                <w:rFonts w:ascii="宋体" w:hint="eastAsia"/>
                <w:color w:val="auto"/>
                <w:szCs w:val="21"/>
                <w:highlight w:val="auto"/>
              </w:rPr>
              <w:t>日</w:t>
            </w:r>
            <w:r>
              <w:rPr>
                <w:rFonts w:ascii="宋体"/>
                <w:snapToGrid w:val="0"/>
                <w:color w:val="auto"/>
                <w:kern w:val="0"/>
                <w:szCs w:val="21"/>
                <w:highlight w:val="auto"/>
              </w:rPr>
              <w:t>17</w:t>
            </w:r>
            <w:r>
              <w:rPr>
                <w:rFonts w:ascii="宋体" w:hint="eastAsia"/>
                <w:snapToGrid w:val="0"/>
                <w:color w:val="auto"/>
                <w:kern w:val="0"/>
                <w:szCs w:val="21"/>
                <w:highlight w:val="auto"/>
              </w:rPr>
              <w:t>时之前、将要求答疑的问题盖章扫描后发送至376790573@qq.com并致电招标代理机构确认电话：0573-82133572</w:t>
            </w:r>
            <w:r>
              <w:rPr>
                <w:rFonts w:ascii="宋体" w:hint="eastAsia"/>
                <w:color w:val="auto"/>
                <w:szCs w:val="21"/>
                <w:lang w:val="zh-CN"/>
                <w:highlight w:val="auto"/>
              </w:rPr>
              <w:t>。</w:t>
            </w:r>
            <w:r>
              <w:rPr>
                <w:rFonts w:ascii="Times New Roman" w:eastAsia="宋体" w:cs="Times New Roman" w:hAnsi="Times New Roman"/>
                <w:color w:val="auto"/>
                <w:szCs w:val="21"/>
                <w:highlight w:val="auto"/>
              </w:rPr>
              <w:t>答疑回复内容是采购文件的组成部份，并将以</w:t>
            </w:r>
            <w:r>
              <w:rPr>
                <w:rFonts w:ascii="Times New Roman" w:eastAsia="宋体" w:cs="Times New Roman" w:hAnsi="Times New Roman" w:hint="eastAsia"/>
                <w:color w:val="auto"/>
                <w:szCs w:val="21"/>
                <w:highlight w:val="auto"/>
              </w:rPr>
              <w:t>更正公告的</w:t>
            </w:r>
            <w:r>
              <w:rPr>
                <w:rFonts w:ascii="Times New Roman" w:eastAsia="宋体" w:cs="Times New Roman" w:hAnsi="Times New Roman"/>
                <w:color w:val="auto"/>
                <w:szCs w:val="21"/>
                <w:highlight w:val="auto"/>
              </w:rPr>
              <w:t>形式</w:t>
            </w:r>
            <w:r>
              <w:rPr>
                <w:rFonts w:ascii="Times New Roman" w:eastAsia="宋体" w:cs="Times New Roman" w:hAnsi="Times New Roman" w:hint="eastAsia"/>
                <w:color w:val="auto"/>
                <w:szCs w:val="21"/>
                <w:highlight w:val="auto"/>
              </w:rPr>
              <w:t>在本采购公告发布的同一媒体发布，请供应商密切关注更正公告</w:t>
            </w:r>
            <w:r>
              <w:rPr>
                <w:rFonts w:ascii="宋体" w:hint="eastAsia"/>
                <w:color w:val="auto"/>
                <w:szCs w:val="21"/>
                <w:highlight w:val="auto"/>
              </w:rPr>
              <w:t>。</w:t>
            </w:r>
          </w:p>
        </w:tc>
      </w:tr>
      <w:tr>
        <w:trPr>
          <w:trHeight w:val="1433"/>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采购文件的澄清与修改</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在投标截止时间</w:t>
            </w:r>
            <w:r>
              <w:rPr>
                <w:rFonts w:ascii="宋体"/>
                <w:color w:val="auto"/>
                <w:szCs w:val="21"/>
                <w:highlight w:val="auto"/>
              </w:rPr>
              <w:t>15</w:t>
            </w:r>
            <w:r>
              <w:rPr>
                <w:rFonts w:ascii="宋体" w:hint="eastAsia"/>
                <w:color w:val="auto"/>
                <w:szCs w:val="21"/>
                <w:lang w:val="en-US" w:eastAsia="zh-CN"/>
                <w:highlight w:val="auto"/>
              </w:rPr>
              <w:t>日历天</w:t>
            </w:r>
            <w:r>
              <w:rPr>
                <w:rFonts w:ascii="宋体" w:hint="eastAsia"/>
                <w:color w:val="auto"/>
                <w:szCs w:val="21"/>
                <w:highlight w:val="auto"/>
              </w:rPr>
              <w:t>前，采购人有权澄清和修改采购文件，并以书面形式通知所有已购买采购文件的供应商。修改和澄清（答疑）答复的文件作为采购采购文件的补充和组成部分，对所有供应商均有约束力。</w:t>
            </w:r>
          </w:p>
        </w:tc>
      </w:tr>
      <w:tr>
        <w:trPr>
          <w:trHeight w:val="55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13</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投标文件份数</w:t>
            </w:r>
          </w:p>
        </w:tc>
        <w:tc>
          <w:tcPr>
            <w:tcW w:w="6383" w:type="dxa"/>
            <w:tcBorders>
              <w:tl2br w:val="nil"/>
              <w:tr2bl w:val="nil"/>
            </w:tcBorders>
            <w:vAlign w:val="center"/>
          </w:tcPr>
          <w:p>
            <w:pPr>
              <w:adjustRightInd w:val="0"/>
              <w:snapToGrid w:val="0"/>
              <w:spacing w:line="360" w:lineRule="auto"/>
              <w:rPr>
                <w:rFonts w:ascii="宋体"/>
                <w:b/>
                <w:color w:val="auto"/>
                <w:szCs w:val="21"/>
                <w:highlight w:val="auto"/>
              </w:rPr>
            </w:pPr>
            <w:r>
              <w:rPr>
                <w:rFonts w:ascii="宋体" w:hint="eastAsia"/>
                <w:color w:val="auto"/>
                <w:szCs w:val="21"/>
                <w:highlight w:val="auto"/>
              </w:rPr>
              <w:t>纸质文件包括正本一份、副本四份，电子文档</w:t>
            </w:r>
            <w:r>
              <w:rPr>
                <w:rFonts w:ascii="宋体"/>
                <w:color w:val="auto"/>
                <w:szCs w:val="21"/>
                <w:highlight w:val="auto"/>
              </w:rPr>
              <w:t>U</w:t>
            </w:r>
            <w:r>
              <w:rPr>
                <w:rFonts w:ascii="宋体" w:hint="eastAsia"/>
                <w:color w:val="auto"/>
                <w:szCs w:val="21"/>
                <w:highlight w:val="auto"/>
              </w:rPr>
              <w:t>盘或光盘一份。</w:t>
            </w:r>
          </w:p>
        </w:tc>
      </w:tr>
      <w:tr>
        <w:trPr>
          <w:trHeight w:val="601"/>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14</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评标办法</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综合评分法</w:t>
            </w:r>
          </w:p>
        </w:tc>
      </w:tr>
      <w:tr>
        <w:trPr>
          <w:trHeight w:val="467"/>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15</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投标文件递交地址及截止时间</w:t>
            </w:r>
          </w:p>
        </w:tc>
        <w:tc>
          <w:tcPr>
            <w:tcW w:w="6383" w:type="dxa"/>
            <w:tcBorders>
              <w:tl2br w:val="nil"/>
              <w:tr2bl w:val="nil"/>
            </w:tcBorders>
            <w:vAlign w:val="center"/>
          </w:tcPr>
          <w:p>
            <w:pPr>
              <w:adjustRightInd w:val="0"/>
              <w:snapToGrid w:val="0"/>
              <w:spacing w:line="360" w:lineRule="auto"/>
              <w:rPr>
                <w:rFonts w:ascii="宋体" w:cs="Courier New"/>
                <w:color w:val="auto"/>
                <w:szCs w:val="21"/>
                <w:highlight w:val="auto"/>
              </w:rPr>
            </w:pPr>
            <w:r>
              <w:rPr>
                <w:rFonts w:ascii="宋体" w:cs="Courier New" w:hint="eastAsia"/>
                <w:color w:val="auto"/>
                <w:szCs w:val="21"/>
                <w:highlight w:val="auto"/>
              </w:rPr>
              <w:t>地址：大地工程咨询有限公司（嘉兴市秀洲区洪波路1200号万豪广场12楼1204室）</w:t>
            </w:r>
            <w:r>
              <w:rPr>
                <w:rFonts w:ascii="宋体" w:cs="楷体" w:hint="eastAsia"/>
                <w:color w:val="auto"/>
                <w:kern w:val="0"/>
                <w:szCs w:val="21"/>
                <w:highlight w:val="auto"/>
              </w:rPr>
              <w:t>。</w:t>
            </w:r>
          </w:p>
          <w:p>
            <w:pPr>
              <w:adjustRightInd w:val="0"/>
              <w:snapToGrid w:val="0"/>
              <w:spacing w:line="360" w:lineRule="auto"/>
              <w:rPr>
                <w:rFonts w:ascii="宋体" w:cs="Courier New"/>
                <w:color w:val="auto"/>
                <w:szCs w:val="21"/>
                <w:highlight w:val="auto"/>
              </w:rPr>
            </w:pPr>
            <w:r>
              <w:rPr>
                <w:rFonts w:ascii="宋体" w:cs="Courier New" w:hint="eastAsia"/>
                <w:color w:val="auto"/>
                <w:szCs w:val="21"/>
                <w:highlight w:val="auto"/>
              </w:rPr>
              <w:t>时间：</w:t>
            </w:r>
            <w:r>
              <w:rPr>
                <w:rFonts w:ascii="宋体" w:cs="楷体" w:hint="eastAsia"/>
                <w:color w:val="auto"/>
                <w:kern w:val="0"/>
                <w:szCs w:val="21"/>
                <w:highlight w:val="auto"/>
              </w:rPr>
              <w:t>见招标公告。</w:t>
            </w:r>
          </w:p>
        </w:tc>
      </w:tr>
      <w:tr>
        <w:trPr>
          <w:trHeight w:val="912"/>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16</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开标时间及地点</w:t>
            </w:r>
          </w:p>
        </w:tc>
        <w:tc>
          <w:tcPr>
            <w:tcW w:w="6383" w:type="dxa"/>
            <w:tcBorders>
              <w:tl2br w:val="nil"/>
              <w:tr2bl w:val="nil"/>
            </w:tcBorders>
            <w:vAlign w:val="center"/>
          </w:tcPr>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开标顺序：按照投标文件送达的先后顺序进行开标。</w:t>
            </w:r>
          </w:p>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开标程序：本项目分两阶段开标，具体如下：</w:t>
            </w:r>
          </w:p>
          <w:p>
            <w:pPr>
              <w:adjustRightInd w:val="0"/>
              <w:snapToGrid w:val="0"/>
              <w:spacing w:line="360" w:lineRule="auto"/>
              <w:rPr>
                <w:rFonts w:ascii="宋体" w:cs="楷体"/>
                <w:b/>
                <w:color w:val="auto"/>
                <w:kern w:val="0"/>
                <w:szCs w:val="21"/>
                <w:highlight w:val="auto"/>
              </w:rPr>
            </w:pPr>
            <w:r>
              <w:rPr>
                <w:rFonts w:ascii="宋体" w:cs="楷体" w:hint="eastAsia"/>
                <w:b/>
                <w:color w:val="auto"/>
                <w:kern w:val="0"/>
                <w:szCs w:val="21"/>
                <w:highlight w:val="auto"/>
              </w:rPr>
              <w:t>第一阶段：资格及商务技术文件开标；</w:t>
            </w:r>
          </w:p>
          <w:p>
            <w:pPr>
              <w:adjustRightInd w:val="0"/>
              <w:snapToGrid w:val="0"/>
              <w:spacing w:line="360" w:lineRule="auto"/>
              <w:rPr>
                <w:rFonts w:ascii="宋体" w:cs="楷体"/>
                <w:b/>
                <w:color w:val="auto"/>
                <w:kern w:val="0"/>
                <w:szCs w:val="21"/>
                <w:highlight w:val="auto"/>
              </w:rPr>
            </w:pPr>
            <w:r>
              <w:rPr>
                <w:rFonts w:ascii="宋体" w:cs="宋体" w:hint="eastAsia"/>
                <w:b/>
                <w:color w:val="auto"/>
                <w:szCs w:val="21"/>
                <w:highlight w:val="auto"/>
              </w:rPr>
              <w:t>时间：</w:t>
            </w:r>
            <w:r>
              <w:rPr>
                <w:rFonts w:ascii="宋体" w:cs="楷体" w:hint="eastAsia"/>
                <w:color w:val="auto"/>
                <w:kern w:val="0"/>
                <w:szCs w:val="21"/>
                <w:highlight w:val="auto"/>
              </w:rPr>
              <w:t>见招标公告</w:t>
            </w:r>
          </w:p>
          <w:p>
            <w:pPr>
              <w:adjustRightInd w:val="0"/>
              <w:snapToGrid w:val="0"/>
              <w:spacing w:line="360" w:lineRule="auto"/>
              <w:rPr>
                <w:rFonts w:ascii="宋体" w:cs="楷体"/>
                <w:snapToGrid w:val="0"/>
                <w:color w:val="auto"/>
                <w:kern w:val="0"/>
                <w:szCs w:val="21"/>
                <w:highlight w:val="auto"/>
              </w:rPr>
            </w:pPr>
            <w:r>
              <w:rPr>
                <w:rFonts w:ascii="宋体" w:cs="楷体" w:hint="eastAsia"/>
                <w:b/>
                <w:color w:val="auto"/>
                <w:kern w:val="0"/>
                <w:szCs w:val="21"/>
                <w:highlight w:val="auto"/>
              </w:rPr>
              <w:t>开标地点</w:t>
            </w:r>
            <w:r>
              <w:rPr>
                <w:rFonts w:ascii="宋体" w:cs="宋体" w:hint="eastAsia"/>
                <w:b/>
                <w:color w:val="auto"/>
                <w:szCs w:val="21"/>
                <w:highlight w:val="auto"/>
              </w:rPr>
              <w:t>：</w:t>
            </w:r>
            <w:r>
              <w:rPr>
                <w:rFonts w:ascii="宋体" w:cs="楷体" w:hint="eastAsia"/>
                <w:snapToGrid w:val="0"/>
                <w:color w:val="auto"/>
                <w:kern w:val="0"/>
                <w:szCs w:val="21"/>
                <w:highlight w:val="auto"/>
              </w:rPr>
              <w:t>大地工程咨询有限公司（嘉兴市秀洲区洪波路1200号万豪广场12楼1204室）。</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第二阶段：报价文件开标；</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时间：资格及商务技术文件评审结束后；</w:t>
            </w:r>
          </w:p>
          <w:p>
            <w:pPr>
              <w:adjustRightInd w:val="0"/>
              <w:snapToGrid w:val="0"/>
              <w:spacing w:line="360" w:lineRule="auto"/>
              <w:rPr>
                <w:rFonts w:ascii="宋体" w:cs="宋体"/>
                <w:b/>
                <w:color w:val="auto"/>
                <w:szCs w:val="21"/>
                <w:highlight w:val="auto"/>
              </w:rPr>
            </w:pPr>
            <w:r>
              <w:rPr>
                <w:rFonts w:ascii="宋体" w:cs="宋体" w:hint="eastAsia"/>
                <w:b/>
                <w:color w:val="auto"/>
                <w:szCs w:val="21"/>
                <w:highlight w:val="auto"/>
              </w:rPr>
              <w:t>地点：同第一阶段开标地点。</w:t>
            </w:r>
          </w:p>
          <w:p>
            <w:pPr>
              <w:adjustRightInd w:val="0"/>
              <w:snapToGrid w:val="0"/>
              <w:spacing w:line="360" w:lineRule="auto"/>
              <w:rPr>
                <w:rFonts w:ascii="宋体"/>
                <w:color w:val="auto"/>
                <w:szCs w:val="21"/>
                <w:highlight w:val="auto"/>
              </w:rPr>
            </w:pPr>
            <w:r>
              <w:rPr>
                <w:rFonts w:ascii="宋体" w:cs="宋体" w:hint="eastAsia"/>
                <w:b/>
                <w:color w:val="auto"/>
                <w:szCs w:val="21"/>
                <w:highlight w:val="auto"/>
              </w:rPr>
              <w:t>注：第一阶段评审过程中作无效标处理的，报价文件直接退还供应商。</w:t>
            </w:r>
          </w:p>
        </w:tc>
      </w:tr>
      <w:tr>
        <w:trPr>
          <w:trHeight w:val="67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17</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投标有效期</w:t>
            </w:r>
          </w:p>
        </w:tc>
        <w:tc>
          <w:tcPr>
            <w:tcW w:w="6383"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投标截止日后</w:t>
            </w:r>
            <w:r>
              <w:rPr>
                <w:rFonts w:ascii="宋体"/>
                <w:bCs/>
                <w:color w:val="auto"/>
                <w:szCs w:val="21"/>
                <w:highlight w:val="auto"/>
              </w:rPr>
              <w:t>90</w:t>
            </w:r>
            <w:r>
              <w:rPr>
                <w:rFonts w:ascii="宋体" w:hint="eastAsia"/>
                <w:bCs/>
                <w:color w:val="auto"/>
                <w:szCs w:val="21"/>
                <w:lang w:val="en-US" w:eastAsia="zh-CN"/>
                <w:highlight w:val="auto"/>
              </w:rPr>
              <w:t>日历天</w:t>
            </w:r>
            <w:r>
              <w:rPr>
                <w:rFonts w:ascii="宋体" w:hint="eastAsia"/>
                <w:color w:val="auto"/>
                <w:szCs w:val="21"/>
                <w:highlight w:val="auto"/>
              </w:rPr>
              <w:t>内有效，不足该有效期的，其投标视为无效标</w:t>
            </w:r>
          </w:p>
        </w:tc>
      </w:tr>
      <w:tr>
        <w:trPr>
          <w:trHeight w:val="449"/>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18</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履约保证金</w:t>
            </w:r>
          </w:p>
        </w:tc>
        <w:tc>
          <w:tcPr>
            <w:tcW w:w="6383" w:type="dxa"/>
            <w:tcBorders>
              <w:tl2br w:val="nil"/>
              <w:tr2bl w:val="nil"/>
            </w:tcBorders>
            <w:vAlign w:val="center"/>
          </w:tcPr>
          <w:p>
            <w:pPr>
              <w:pStyle w:val="28"/>
              <w:adjustRightInd w:val="0"/>
              <w:snapToGrid w:val="0"/>
              <w:spacing w:line="360" w:lineRule="auto"/>
              <w:rPr>
                <w:color w:val="auto"/>
                <w:kern w:val="2"/>
                <w:sz w:val="21"/>
                <w:szCs w:val="21"/>
                <w:highlight w:val="auto"/>
              </w:rPr>
            </w:pPr>
            <w:r>
              <w:rPr>
                <w:rFonts w:hint="eastAsia"/>
                <w:color w:val="auto"/>
                <w:kern w:val="2"/>
                <w:sz w:val="21"/>
                <w:szCs w:val="21"/>
                <w:highlight w:val="auto"/>
              </w:rPr>
              <w:t>详见合同</w:t>
            </w:r>
          </w:p>
        </w:tc>
      </w:tr>
      <w:tr>
        <w:trPr>
          <w:trHeight w:val="780"/>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19</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质疑</w:t>
            </w:r>
          </w:p>
        </w:tc>
        <w:tc>
          <w:tcPr>
            <w:tcW w:w="6383" w:type="dxa"/>
            <w:tcBorders>
              <w:tl2br w:val="nil"/>
              <w:tr2bl w:val="nil"/>
            </w:tcBorders>
            <w:vAlign w:val="center"/>
          </w:tcPr>
          <w:p>
            <w:pPr>
              <w:snapToGrid w:val="0"/>
              <w:spacing w:line="360" w:lineRule="auto"/>
              <w:rPr>
                <w:rFonts w:ascii="宋体" w:cs="宋体"/>
                <w:snapToGrid w:val="0"/>
                <w:color w:val="auto"/>
                <w:kern w:val="0"/>
                <w:szCs w:val="21"/>
                <w:highlight w:val="auto"/>
              </w:rPr>
            </w:pPr>
            <w:r>
              <w:rPr>
                <w:rFonts w:ascii="宋体" w:cs="宋体" w:hint="eastAsia"/>
                <w:snapToGrid w:val="0"/>
                <w:color w:val="auto"/>
                <w:kern w:val="0"/>
                <w:szCs w:val="21"/>
                <w:highlight w:val="auto"/>
              </w:rPr>
              <w:t>根据《中华人民共和国政府采购法》第五十二条、《中华人民共和国政府采购法实施条例》第五十三条、《政府采购质疑和投诉办法》的规定：</w:t>
            </w:r>
          </w:p>
          <w:p>
            <w:pPr>
              <w:snapToGrid w:val="0"/>
              <w:spacing w:line="360" w:lineRule="auto"/>
              <w:rPr>
                <w:rFonts w:ascii="宋体" w:cs="宋体"/>
                <w:snapToGrid w:val="0"/>
                <w:color w:val="auto"/>
                <w:kern w:val="0"/>
                <w:szCs w:val="21"/>
                <w:highlight w:val="auto"/>
              </w:rPr>
            </w:pPr>
            <w:r>
              <w:rPr>
                <w:rFonts w:ascii="宋体" w:cs="宋体" w:hint="eastAsia"/>
                <w:snapToGrid w:val="0"/>
                <w:color w:val="auto"/>
                <w:kern w:val="0"/>
                <w:szCs w:val="21"/>
                <w:highlight w:val="auto"/>
              </w:rPr>
              <w:t>投标人认为采购（招标）文件、采购过程、中标或者成交结果使自己的权益受到损害的，可以在知道或者应知其权益受到损害之日起</w:t>
            </w:r>
            <w:r>
              <w:rPr>
                <w:rFonts w:ascii="宋体" w:cs="宋体"/>
                <w:snapToGrid w:val="0"/>
                <w:color w:val="auto"/>
                <w:kern w:val="0"/>
                <w:szCs w:val="21"/>
                <w:highlight w:val="auto"/>
              </w:rPr>
              <w:t>7</w:t>
            </w:r>
            <w:r>
              <w:rPr>
                <w:rFonts w:ascii="宋体" w:cs="宋体" w:hint="eastAsia"/>
                <w:snapToGrid w:val="0"/>
                <w:color w:val="auto"/>
                <w:kern w:val="0"/>
                <w:szCs w:val="21"/>
                <w:highlight w:val="auto"/>
              </w:rPr>
              <w:t>个工作日内，以书面形式向采购人、采购代理机构提出质疑。</w:t>
            </w:r>
          </w:p>
          <w:p>
            <w:pPr>
              <w:adjustRightInd w:val="0"/>
              <w:snapToGrid w:val="0"/>
              <w:spacing w:line="360" w:lineRule="auto"/>
              <w:rPr>
                <w:rFonts w:ascii="宋体" w:cs="Courier New"/>
                <w:color w:val="auto"/>
                <w:szCs w:val="21"/>
                <w:highlight w:val="auto"/>
              </w:rPr>
            </w:pPr>
            <w:r>
              <w:rPr>
                <w:rFonts w:ascii="宋体" w:cs="宋体" w:hint="eastAsia"/>
                <w:snapToGrid w:val="0"/>
                <w:color w:val="auto"/>
                <w:kern w:val="0"/>
                <w:szCs w:val="21"/>
                <w:highlight w:val="auto"/>
              </w:rPr>
              <w:t>本项目要求投标人在法定质疑期内一次性提出针对同一采购程序环节的质疑。</w:t>
            </w:r>
          </w:p>
        </w:tc>
      </w:tr>
      <w:tr>
        <w:trPr>
          <w:trHeight w:val="411"/>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20</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投诉</w:t>
            </w:r>
          </w:p>
        </w:tc>
        <w:tc>
          <w:tcPr>
            <w:tcW w:w="6383" w:type="dxa"/>
            <w:tcBorders>
              <w:tl2br w:val="nil"/>
              <w:tr2bl w:val="nil"/>
            </w:tcBorders>
            <w:vAlign w:val="center"/>
          </w:tcPr>
          <w:p>
            <w:pPr>
              <w:spacing w:line="360" w:lineRule="auto"/>
              <w:rPr>
                <w:rFonts w:ascii="宋体" w:cs="Courier New"/>
                <w:color w:val="auto"/>
                <w:szCs w:val="21"/>
                <w:highlight w:val="auto"/>
              </w:rPr>
            </w:pPr>
            <w:r>
              <w:rPr>
                <w:rFonts w:ascii="宋体" w:cs="Courier New" w:hint="eastAsia"/>
                <w:color w:val="auto"/>
                <w:szCs w:val="21"/>
                <w:highlight w:val="auto"/>
              </w:rPr>
              <w:t>根据《政府采购法》第五十五条的规定，质疑供应商对招标人、采购代理机构的答复不满意或者招标人、采购代理机构未在规定的时间内作出答复的，可以在答复期满后十五个工作日内向同级政府采购监督管理部门投诉。</w:t>
            </w:r>
          </w:p>
        </w:tc>
      </w:tr>
      <w:tr>
        <w:trPr>
          <w:trHeight w:val="123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21</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特别说明</w:t>
            </w:r>
          </w:p>
        </w:tc>
        <w:tc>
          <w:tcPr>
            <w:tcW w:w="6383" w:type="dxa"/>
            <w:tcBorders>
              <w:tl2br w:val="nil"/>
              <w:tr2bl w:val="nil"/>
            </w:tcBorders>
            <w:vAlign w:val="center"/>
          </w:tcPr>
          <w:p>
            <w:pPr>
              <w:pStyle w:val="28"/>
              <w:adjustRightInd w:val="0"/>
              <w:snapToGrid w:val="0"/>
              <w:spacing w:line="360" w:lineRule="auto"/>
              <w:rPr>
                <w:color w:val="auto"/>
                <w:sz w:val="21"/>
                <w:szCs w:val="21"/>
                <w:highlight w:val="auto"/>
              </w:rPr>
            </w:pPr>
            <w:r>
              <w:rPr>
                <w:b/>
                <w:bCs/>
                <w:color w:val="auto"/>
                <w:sz w:val="21"/>
                <w:szCs w:val="21"/>
                <w:highlight w:val="auto"/>
              </w:rPr>
              <w:t>1</w:t>
            </w:r>
            <w:r>
              <w:rPr>
                <w:rFonts w:hint="eastAsia"/>
                <w:b/>
                <w:bCs/>
                <w:color w:val="auto"/>
                <w:sz w:val="21"/>
                <w:szCs w:val="21"/>
                <w:highlight w:val="auto"/>
              </w:rPr>
              <w:t>、</w:t>
            </w:r>
            <w:r>
              <w:rPr>
                <w:rFonts w:hint="eastAsia"/>
                <w:b/>
                <w:color w:val="auto"/>
                <w:sz w:val="21"/>
                <w:szCs w:val="21"/>
                <w:highlight w:val="auto"/>
              </w:rPr>
              <w:t>投标人应无条件的、认真仔细的、不厌其烦的阅读本招标文件及其澄清答疑、修改答复的补充文件，严格按照招标及补充文件的规定和要求编制投标文件。</w:t>
            </w:r>
          </w:p>
          <w:p>
            <w:pPr>
              <w:pStyle w:val="28"/>
              <w:adjustRightInd w:val="0"/>
              <w:snapToGrid w:val="0"/>
              <w:spacing w:line="360" w:lineRule="auto"/>
              <w:rPr>
                <w:b/>
                <w:bCs/>
                <w:color w:val="auto"/>
                <w:sz w:val="21"/>
                <w:szCs w:val="21"/>
                <w:highlight w:val="auto"/>
              </w:rPr>
            </w:pPr>
            <w:r>
              <w:rPr>
                <w:b/>
                <w:bCs/>
                <w:color w:val="auto"/>
                <w:sz w:val="21"/>
                <w:szCs w:val="21"/>
                <w:highlight w:val="auto"/>
              </w:rPr>
              <w:t>2</w:t>
            </w:r>
            <w:r>
              <w:rPr>
                <w:rFonts w:hint="eastAsia"/>
                <w:b/>
                <w:bCs/>
                <w:color w:val="auto"/>
                <w:sz w:val="21"/>
                <w:szCs w:val="21"/>
                <w:highlight w:val="auto"/>
              </w:rPr>
              <w:t>、投标人如发现招标文件及其评标办法中存在含糊不清、相互矛盾、多种含义以及歧视性不公正条款或违法违规等内容时，请在招标答疑截止时间前同时向招标人、招标代理机构反映，逾期不得再对招标文件的条款提出质疑。</w:t>
            </w:r>
          </w:p>
          <w:p>
            <w:pPr>
              <w:pStyle w:val="28"/>
              <w:adjustRightInd w:val="0"/>
              <w:snapToGrid w:val="0"/>
              <w:spacing w:line="360" w:lineRule="auto"/>
              <w:rPr>
                <w:snapToGrid w:val="0"/>
                <w:color w:val="auto"/>
                <w:sz w:val="21"/>
                <w:szCs w:val="21"/>
                <w:highlight w:val="auto"/>
              </w:rPr>
            </w:pPr>
            <w:r>
              <w:rPr>
                <w:b/>
                <w:color w:val="auto"/>
                <w:kern w:val="2"/>
                <w:sz w:val="21"/>
                <w:szCs w:val="21"/>
                <w:highlight w:val="auto"/>
              </w:rPr>
              <w:t>3</w:t>
            </w:r>
            <w:r>
              <w:rPr>
                <w:rFonts w:hint="eastAsia"/>
                <w:b/>
                <w:color w:val="auto"/>
                <w:kern w:val="2"/>
                <w:sz w:val="21"/>
                <w:szCs w:val="21"/>
                <w:highlight w:val="auto"/>
              </w:rPr>
              <w:t>、该招标项目评标结果公示期间，投标人不得通过非正当途径、更不得通过非正当手段获取法律法规规定评标委员会（包括其他相关人员）应当保密的相关内容。即便由此获得资料并作为向招标人或招标代理机构或监督管理部门提出异（质）疑或投诉或法院起诉的理由，均属于非法（提供来源经核实为合法的除外）索取的依据。</w:t>
            </w:r>
          </w:p>
        </w:tc>
      </w:tr>
      <w:tr>
        <w:trPr>
          <w:trHeight w:val="4095"/>
        </w:trPr>
        <w:tc>
          <w:tcPr>
            <w:tcW w:w="648" w:type="dxa"/>
            <w:tcBorders>
              <w:tl2br w:val="nil"/>
              <w:tr2bl w:val="nil"/>
            </w:tcBorders>
            <w:vAlign w:val="center"/>
          </w:tcPr>
          <w:p>
            <w:pPr>
              <w:adjustRightInd w:val="0"/>
              <w:snapToGrid w:val="0"/>
              <w:spacing w:line="360" w:lineRule="auto"/>
              <w:jc w:val="center"/>
              <w:rPr>
                <w:rFonts w:ascii="宋体"/>
                <w:color w:val="auto"/>
                <w:szCs w:val="21"/>
                <w:highlight w:val="auto"/>
              </w:rPr>
            </w:pPr>
            <w:r>
              <w:rPr>
                <w:rFonts w:ascii="宋体"/>
                <w:color w:val="auto"/>
                <w:szCs w:val="21"/>
                <w:highlight w:val="auto"/>
              </w:rPr>
              <w:t>22</w:t>
            </w:r>
          </w:p>
        </w:tc>
        <w:tc>
          <w:tcPr>
            <w:tcW w:w="1800" w:type="dxa"/>
            <w:tcBorders>
              <w:tl2br w:val="nil"/>
              <w:tr2bl w:val="nil"/>
            </w:tcBorders>
            <w:vAlign w:val="center"/>
          </w:tcPr>
          <w:p>
            <w:pPr>
              <w:adjustRightInd w:val="0"/>
              <w:snapToGrid w:val="0"/>
              <w:spacing w:line="360" w:lineRule="auto"/>
              <w:rPr>
                <w:rFonts w:ascii="宋体"/>
                <w:color w:val="auto"/>
                <w:szCs w:val="21"/>
                <w:highlight w:val="auto"/>
              </w:rPr>
            </w:pPr>
            <w:r>
              <w:rPr>
                <w:rFonts w:ascii="宋体" w:hint="eastAsia"/>
                <w:color w:val="auto"/>
                <w:szCs w:val="21"/>
                <w:highlight w:val="auto"/>
              </w:rPr>
              <w:t>招标代理服务费</w:t>
            </w:r>
          </w:p>
        </w:tc>
        <w:tc>
          <w:tcPr>
            <w:tcW w:w="6383" w:type="dxa"/>
            <w:tcBorders>
              <w:tl2br w:val="nil"/>
              <w:tr2bl w:val="nil"/>
            </w:tcBorders>
            <w:vAlign w:val="center"/>
          </w:tcPr>
          <w:p>
            <w:pPr>
              <w:pStyle w:val="28"/>
              <w:spacing w:line="360" w:lineRule="auto"/>
              <w:rPr>
                <w:snapToGrid w:val="0"/>
                <w:color w:val="auto"/>
                <w:sz w:val="21"/>
                <w:szCs w:val="21"/>
                <w:highlight w:val="auto"/>
              </w:rPr>
            </w:pPr>
            <w:r>
              <w:rPr>
                <w:rFonts w:hint="eastAsia"/>
                <w:snapToGrid w:val="0"/>
                <w:color w:val="auto"/>
                <w:sz w:val="21"/>
                <w:szCs w:val="21"/>
                <w:highlight w:val="auto"/>
              </w:rPr>
              <w:t>本项目招标代理费以项目中标价为收费基数，按《招标代理服务收费管理暂行办法》（计价格[2002]1980号）的70%收取,不足5000元按5000元计，由中标供应商在领取中标通知书后5个工作日内一次性支付给采购代理机构。</w:t>
            </w:r>
          </w:p>
          <w:p>
            <w:pPr>
              <w:pStyle w:val="28"/>
              <w:spacing w:line="360" w:lineRule="auto"/>
              <w:rPr>
                <w:snapToGrid w:val="0"/>
                <w:color w:val="auto"/>
                <w:sz w:val="21"/>
                <w:szCs w:val="21"/>
                <w:highlight w:val="auto"/>
              </w:rPr>
            </w:pPr>
            <w:r>
              <w:rPr>
                <w:rFonts w:hint="eastAsia"/>
                <w:snapToGrid w:val="0"/>
                <w:color w:val="auto"/>
                <w:sz w:val="21"/>
                <w:szCs w:val="21"/>
                <w:highlight w:val="auto"/>
              </w:rPr>
              <w:t>大地工程咨询有限公司中标服务费收取账号</w:t>
            </w:r>
          </w:p>
          <w:p>
            <w:pPr>
              <w:pStyle w:val="28"/>
              <w:spacing w:line="360" w:lineRule="auto"/>
              <w:rPr>
                <w:snapToGrid w:val="0"/>
                <w:color w:val="auto"/>
                <w:sz w:val="21"/>
                <w:szCs w:val="21"/>
                <w:highlight w:val="auto"/>
              </w:rPr>
            </w:pPr>
            <w:r>
              <w:rPr>
                <w:rFonts w:hint="eastAsia"/>
                <w:snapToGrid w:val="0"/>
                <w:color w:val="auto"/>
                <w:sz w:val="21"/>
                <w:szCs w:val="21"/>
                <w:highlight w:val="auto"/>
              </w:rPr>
              <w:t>户名：大地工程咨询有限公司嘉兴分公司</w:t>
            </w:r>
          </w:p>
          <w:p>
            <w:pPr>
              <w:pStyle w:val="28"/>
              <w:spacing w:line="360" w:lineRule="auto"/>
              <w:rPr>
                <w:snapToGrid w:val="0"/>
                <w:color w:val="auto"/>
                <w:sz w:val="21"/>
                <w:szCs w:val="21"/>
                <w:highlight w:val="auto"/>
              </w:rPr>
            </w:pPr>
            <w:r>
              <w:rPr>
                <w:rFonts w:hint="eastAsia"/>
                <w:snapToGrid w:val="0"/>
                <w:color w:val="auto"/>
                <w:sz w:val="21"/>
                <w:szCs w:val="21"/>
                <w:highlight w:val="auto"/>
              </w:rPr>
              <w:t xml:space="preserve">开户银行：浙江禾城农村商业银行股份有限公司南湖支行 </w:t>
            </w:r>
          </w:p>
          <w:p>
            <w:pPr>
              <w:pStyle w:val="28"/>
              <w:spacing w:line="360" w:lineRule="auto"/>
              <w:rPr>
                <w:b/>
                <w:color w:val="auto"/>
                <w:szCs w:val="21"/>
                <w:highlight w:val="auto"/>
              </w:rPr>
            </w:pPr>
            <w:r>
              <w:rPr>
                <w:rFonts w:hint="eastAsia"/>
                <w:snapToGrid w:val="0"/>
                <w:color w:val="auto"/>
                <w:sz w:val="21"/>
                <w:szCs w:val="21"/>
                <w:highlight w:val="auto"/>
              </w:rPr>
              <w:t xml:space="preserve">账号：201000264569242 </w:t>
            </w:r>
          </w:p>
        </w:tc>
      </w:tr>
      <w:tr>
        <w:trPr>
          <w:trHeight w:val="896"/>
        </w:trPr>
        <w:tc>
          <w:tcPr>
            <w:tcW w:w="648" w:type="dxa"/>
            <w:tcBorders>
              <w:tl2br w:val="nil"/>
              <w:tr2bl w:val="nil"/>
            </w:tcBorders>
            <w:vAlign w:val="center"/>
          </w:tcPr>
          <w:p>
            <w:pPr>
              <w:pStyle w:val="86"/>
              <w:spacing w:line="360" w:lineRule="auto"/>
              <w:rPr>
                <w:rFonts w:eastAsia="宋体" w:cs="宋体" w:hint="eastAsia"/>
                <w:color w:val="auto"/>
                <w:sz w:val="21"/>
                <w:szCs w:val="21"/>
                <w:lang w:eastAsia="zh-CN"/>
                <w:highlight w:val="auto"/>
              </w:rPr>
            </w:pPr>
            <w:r>
              <w:rPr>
                <w:rFonts w:cs="宋体"/>
                <w:color w:val="auto"/>
                <w:sz w:val="21"/>
                <w:szCs w:val="21"/>
                <w:highlight w:val="auto"/>
              </w:rPr>
              <w:t>2</w:t>
            </w:r>
            <w:r>
              <w:rPr>
                <w:rFonts w:cs="宋体" w:hint="eastAsia"/>
                <w:color w:val="auto"/>
                <w:sz w:val="21"/>
                <w:szCs w:val="21"/>
                <w:lang w:val="en-US" w:eastAsia="zh-CN"/>
                <w:highlight w:val="auto"/>
              </w:rPr>
              <w:t>3</w:t>
            </w:r>
          </w:p>
        </w:tc>
        <w:tc>
          <w:tcPr>
            <w:tcW w:w="1800" w:type="dxa"/>
            <w:tcBorders>
              <w:tl2br w:val="nil"/>
              <w:tr2bl w:val="nil"/>
            </w:tcBorders>
            <w:vAlign w:val="center"/>
          </w:tcPr>
          <w:p>
            <w:pPr>
              <w:adjustRightInd w:val="0"/>
              <w:snapToGrid w:val="0"/>
              <w:spacing w:line="360" w:lineRule="auto"/>
              <w:rPr>
                <w:rFonts w:ascii="宋体" w:cs="宋体"/>
                <w:color w:val="auto"/>
                <w:szCs w:val="21"/>
                <w:highlight w:val="auto"/>
              </w:rPr>
            </w:pPr>
            <w:r>
              <w:rPr>
                <w:rFonts w:ascii="宋体" w:cs="宋体" w:hint="eastAsia"/>
                <w:color w:val="auto"/>
                <w:szCs w:val="21"/>
                <w:highlight w:val="auto"/>
              </w:rPr>
              <w:t>公告发布媒体</w:t>
            </w:r>
          </w:p>
        </w:tc>
        <w:tc>
          <w:tcPr>
            <w:tcW w:w="6383" w:type="dxa"/>
            <w:tcBorders>
              <w:tl2br w:val="nil"/>
              <w:tr2bl w:val="nil"/>
            </w:tcBorders>
            <w:vAlign w:val="center"/>
          </w:tcPr>
          <w:p>
            <w:pPr>
              <w:spacing w:line="360" w:lineRule="auto"/>
              <w:rPr>
                <w:rFonts w:ascii="宋体" w:eastAsia="宋体"/>
                <w:color w:val="auto"/>
                <w:szCs w:val="21"/>
                <w:lang w:val="en-US" w:eastAsia="zh-CN"/>
                <w:highlight w:val="auto"/>
              </w:rPr>
            </w:pPr>
            <w:r>
              <w:rPr>
                <w:rFonts w:ascii="宋体" w:hint="eastAsia"/>
                <w:color w:val="auto"/>
                <w:szCs w:val="21"/>
                <w:highlight w:val="auto"/>
              </w:rPr>
              <w:t>中国政府采购网、浙江政府采购网</w:t>
            </w:r>
            <w:r>
              <w:rPr>
                <w:rFonts w:ascii="宋体" w:hint="eastAsia"/>
                <w:color w:val="auto"/>
                <w:szCs w:val="21"/>
                <w:lang w:eastAsia="zh-CN"/>
                <w:highlight w:val="auto"/>
              </w:rPr>
              <w:t>、</w:t>
            </w:r>
            <w:r>
              <w:rPr>
                <w:rFonts w:ascii="宋体" w:hint="eastAsia"/>
                <w:color w:val="auto"/>
                <w:szCs w:val="21"/>
                <w:lang w:val="en-US" w:eastAsia="zh-CN"/>
                <w:highlight w:val="auto"/>
              </w:rPr>
              <w:t>中华人民共和国杭州海关网站</w:t>
            </w:r>
          </w:p>
        </w:tc>
      </w:tr>
      <w:tr>
        <w:trPr>
          <w:trHeight w:val="1066"/>
        </w:trPr>
        <w:tc>
          <w:tcPr>
            <w:tcW w:w="648" w:type="dxa"/>
            <w:tcBorders>
              <w:tl2br w:val="nil"/>
              <w:tr2bl w:val="nil"/>
            </w:tcBorders>
            <w:vAlign w:val="center"/>
          </w:tcPr>
          <w:p>
            <w:pPr>
              <w:pStyle w:val="78"/>
              <w:adjustRightInd/>
              <w:spacing w:line="360" w:lineRule="auto"/>
              <w:rPr>
                <w:rFonts w:eastAsia="宋体"/>
                <w:color w:val="auto"/>
                <w:sz w:val="21"/>
                <w:szCs w:val="21"/>
                <w:lang w:val="en-US" w:eastAsia="zh-CN"/>
                <w:highlight w:val="auto"/>
              </w:rPr>
            </w:pPr>
            <w:r>
              <w:rPr>
                <w:rFonts w:hint="eastAsia"/>
                <w:color w:val="auto"/>
                <w:sz w:val="21"/>
                <w:szCs w:val="21"/>
                <w:lang w:val="en-US" w:eastAsia="zh-CN"/>
                <w:highlight w:val="auto"/>
              </w:rPr>
              <w:t>24</w:t>
            </w:r>
          </w:p>
        </w:tc>
        <w:tc>
          <w:tcPr>
            <w:tcW w:w="1800" w:type="dxa"/>
            <w:tcBorders>
              <w:tl2br w:val="nil"/>
              <w:tr2bl w:val="nil"/>
            </w:tcBorders>
            <w:vAlign w:val="center"/>
          </w:tcPr>
          <w:p>
            <w:pPr>
              <w:adjustRightInd w:val="0"/>
              <w:spacing w:line="360" w:lineRule="auto"/>
              <w:rPr>
                <w:rFonts w:ascii="宋体"/>
                <w:b/>
                <w:color w:val="auto"/>
                <w:szCs w:val="21"/>
                <w:highlight w:val="auto"/>
              </w:rPr>
            </w:pPr>
            <w:r>
              <w:rPr>
                <w:rFonts w:ascii="宋体" w:cs="宋体" w:hint="eastAsia"/>
                <w:color w:val="auto"/>
                <w:szCs w:val="21"/>
                <w:highlight w:val="auto"/>
              </w:rPr>
              <w:t>其他</w:t>
            </w:r>
          </w:p>
        </w:tc>
        <w:tc>
          <w:tcPr>
            <w:tcW w:w="6383" w:type="dxa"/>
            <w:tcBorders>
              <w:tl2br w:val="nil"/>
              <w:tr2bl w:val="nil"/>
            </w:tcBorders>
            <w:vAlign w:val="center"/>
          </w:tcPr>
          <w:p>
            <w:pPr>
              <w:pStyle w:val="28"/>
              <w:spacing w:line="360" w:lineRule="auto"/>
              <w:rPr>
                <w:snapToGrid w:val="0"/>
                <w:color w:val="auto"/>
                <w:sz w:val="21"/>
                <w:szCs w:val="21"/>
                <w:highlight w:val="auto"/>
              </w:rPr>
            </w:pPr>
            <w:r>
              <w:rPr>
                <w:rFonts w:hint="eastAsia"/>
                <w:snapToGrid w:val="0"/>
                <w:color w:val="auto"/>
                <w:sz w:val="21"/>
                <w:szCs w:val="21"/>
                <w:highlight w:val="auto"/>
              </w:rPr>
              <w:t>是否允许采购进口产品：</w:t>
            </w:r>
            <w:r>
              <w:rPr>
                <w:rFonts w:hint="eastAsia"/>
                <w:color w:val="auto"/>
                <w:szCs w:val="21"/>
                <w:highlight w:val="auto"/>
              </w:rPr>
              <w:t>否</w:t>
            </w:r>
            <w:r>
              <w:rPr>
                <w:rFonts w:hint="eastAsia"/>
                <w:snapToGrid w:val="0"/>
                <w:color w:val="auto"/>
                <w:sz w:val="21"/>
                <w:szCs w:val="21"/>
                <w:highlight w:val="auto"/>
              </w:rPr>
              <w:t>。</w:t>
            </w:r>
          </w:p>
          <w:p>
            <w:pPr>
              <w:pStyle w:val="28"/>
              <w:spacing w:line="360" w:lineRule="auto"/>
              <w:rPr>
                <w:color w:val="auto"/>
                <w:sz w:val="21"/>
                <w:szCs w:val="21"/>
                <w:highlight w:val="auto"/>
              </w:rPr>
            </w:pPr>
            <w:r>
              <w:rPr>
                <w:rFonts w:hint="eastAsia"/>
                <w:color w:val="auto"/>
                <w:sz w:val="21"/>
                <w:szCs w:val="21"/>
                <w:highlight w:val="auto"/>
              </w:rPr>
              <w:t>本项目不适用节能</w:t>
            </w:r>
            <w:r>
              <w:rPr>
                <w:rFonts w:hint="eastAsia"/>
                <w:color w:val="auto"/>
                <w:sz w:val="21"/>
                <w:szCs w:val="21"/>
                <w:lang w:eastAsia="zh-CN"/>
                <w:highlight w:val="auto"/>
              </w:rPr>
              <w:t>、</w:t>
            </w:r>
            <w:r>
              <w:rPr>
                <w:rFonts w:hint="eastAsia"/>
                <w:color w:val="auto"/>
                <w:sz w:val="21"/>
                <w:szCs w:val="21"/>
                <w:lang w:val="en-US" w:eastAsia="zh-CN"/>
                <w:highlight w:val="auto"/>
              </w:rPr>
              <w:t>环保</w:t>
            </w:r>
            <w:r>
              <w:rPr>
                <w:rFonts w:hint="eastAsia"/>
                <w:color w:val="auto"/>
                <w:sz w:val="21"/>
                <w:szCs w:val="21"/>
                <w:highlight w:val="auto"/>
              </w:rPr>
              <w:t>产品条款。</w:t>
            </w:r>
          </w:p>
          <w:p>
            <w:pPr>
              <w:pStyle w:val="28"/>
              <w:spacing w:line="360" w:lineRule="auto"/>
              <w:rPr>
                <w:rFonts w:eastAsia="宋体"/>
                <w:color w:val="auto"/>
                <w:sz w:val="21"/>
                <w:szCs w:val="21"/>
                <w:lang w:val="en-US" w:eastAsia="zh-CN"/>
                <w:highlight w:val="auto"/>
              </w:rPr>
            </w:pPr>
            <w:r>
              <w:rPr>
                <w:rFonts w:hint="eastAsia"/>
                <w:b/>
                <w:bCs/>
                <w:snapToGrid w:val="0"/>
                <w:color w:val="auto"/>
                <w:sz w:val="21"/>
                <w:szCs w:val="21"/>
                <w:highlight w:val="auto"/>
              </w:rPr>
              <w:t>项目属性与核心产品：货物类</w:t>
            </w:r>
            <w:r>
              <w:rPr>
                <w:rFonts w:hint="eastAsia"/>
                <w:b/>
                <w:bCs/>
                <w:snapToGrid w:val="0"/>
                <w:color w:val="auto"/>
                <w:sz w:val="21"/>
                <w:szCs w:val="21"/>
                <w:u w:val="none"/>
                <w:highlight w:val="auto"/>
              </w:rPr>
              <w:t>，</w:t>
            </w:r>
            <w:r>
              <w:rPr>
                <w:rFonts w:hint="eastAsia"/>
                <w:b/>
                <w:bCs/>
                <w:snapToGrid w:val="0"/>
                <w:color w:val="auto"/>
                <w:sz w:val="21"/>
                <w:szCs w:val="21"/>
                <w:u w:val="single"/>
                <w:highlight w:val="auto"/>
              </w:rPr>
              <w:t>核心产品：紫外可见分光光度计</w:t>
            </w:r>
            <w:r>
              <w:rPr>
                <w:rFonts w:hint="eastAsia"/>
                <w:b/>
                <w:bCs/>
                <w:snapToGrid w:val="0"/>
                <w:color w:val="auto"/>
                <w:sz w:val="21"/>
                <w:szCs w:val="21"/>
                <w:u w:val="single"/>
                <w:lang w:val="en-US" w:eastAsia="zh-CN"/>
                <w:highlight w:val="auto"/>
              </w:rPr>
              <w:t xml:space="preserve"> </w:t>
            </w:r>
            <w:r>
              <w:rPr>
                <w:rFonts w:hint="eastAsia"/>
                <w:b/>
                <w:bCs/>
                <w:snapToGrid w:val="0"/>
                <w:color w:val="auto"/>
                <w:sz w:val="21"/>
                <w:szCs w:val="21"/>
                <w:lang w:val="en-US" w:eastAsia="zh-CN"/>
                <w:highlight w:val="auto"/>
              </w:rPr>
              <w:t xml:space="preserve">  </w:t>
            </w:r>
          </w:p>
        </w:tc>
      </w:tr>
      <w:tr>
        <w:trPr>
          <w:trHeight w:val="1034"/>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5</w:t>
            </w:r>
          </w:p>
        </w:tc>
        <w:tc>
          <w:tcPr>
            <w:tcW w:w="1800" w:type="dxa"/>
            <w:tcBorders>
              <w:tl2br w:val="nil"/>
              <w:tr2bl w:val="nil"/>
            </w:tcBorders>
            <w:vAlign w:val="center"/>
          </w:tcPr>
          <w:p>
            <w:pPr>
              <w:adjustRightInd w:val="0"/>
              <w:snapToGrid w:val="0"/>
              <w:spacing w:line="360" w:lineRule="auto"/>
              <w:jc w:val="center"/>
              <w:rPr>
                <w:rFonts w:ascii="宋体" w:cs="宋体"/>
                <w:snapToGrid w:val="0"/>
                <w:color w:val="auto"/>
                <w:kern w:val="0"/>
                <w:highlight w:val="auto"/>
              </w:rPr>
            </w:pPr>
            <w:r>
              <w:rPr>
                <w:rFonts w:ascii="宋体" w:cs="宋体" w:hint="eastAsia"/>
                <w:snapToGrid w:val="0"/>
                <w:color w:val="auto"/>
                <w:kern w:val="0"/>
                <w:highlight w:val="auto"/>
              </w:rPr>
              <w:t>支持中小企业</w:t>
            </w:r>
          </w:p>
        </w:tc>
        <w:tc>
          <w:tcPr>
            <w:tcW w:w="6383" w:type="dxa"/>
            <w:tcBorders>
              <w:tl2br w:val="nil"/>
              <w:tr2bl w:val="nil"/>
            </w:tcBorders>
            <w:vAlign w:val="center"/>
          </w:tcPr>
          <w:p>
            <w:pPr>
              <w:adjustRightInd w:val="0"/>
              <w:snapToGrid w:val="0"/>
              <w:spacing w:line="360" w:lineRule="auto"/>
              <w:rPr>
                <w:b/>
                <w:bCs/>
                <w:color w:val="auto"/>
                <w:highlight w:val="auto"/>
              </w:rPr>
            </w:pPr>
            <w:r>
              <w:rPr>
                <w:rFonts w:hint="eastAsia"/>
                <w:b/>
                <w:bCs/>
                <w:color w:val="auto"/>
                <w:highlight w:val="auto"/>
              </w:rPr>
              <w:t>一、说明</w:t>
            </w:r>
          </w:p>
          <w:p>
            <w:pPr>
              <w:adjustRightInd w:val="0"/>
              <w:snapToGrid w:val="0"/>
              <w:spacing w:line="360" w:lineRule="auto"/>
              <w:rPr>
                <w:b/>
                <w:bCs/>
                <w:color w:val="auto"/>
                <w:highlight w:val="auto"/>
              </w:rPr>
            </w:pPr>
            <w:r>
              <w:rPr>
                <w:b/>
                <w:bCs/>
                <w:color w:val="auto"/>
                <w:highlight w:val="auto"/>
              </w:rPr>
              <w:t>1</w:t>
            </w:r>
            <w:r>
              <w:rPr>
                <w:rFonts w:hint="eastAsia"/>
                <w:b/>
                <w:bCs/>
                <w:color w:val="auto"/>
                <w:highlight w:val="auto"/>
              </w:rPr>
              <w:t>、企业类型</w:t>
            </w:r>
          </w:p>
          <w:p>
            <w:pPr>
              <w:adjustRightInd w:val="0"/>
              <w:snapToGrid w:val="0"/>
              <w:spacing w:line="360" w:lineRule="auto"/>
              <w:rPr>
                <w:b/>
                <w:bCs/>
                <w:color w:val="auto"/>
                <w:highlight w:val="auto"/>
              </w:rPr>
            </w:pPr>
            <w:r>
              <w:rPr>
                <w:rFonts w:hint="eastAsia"/>
                <w:b/>
                <w:bCs/>
                <w:color w:val="auto"/>
                <w:highlight w:val="auto"/>
              </w:rPr>
              <w:t>（</w:t>
            </w:r>
            <w:r>
              <w:rPr>
                <w:b/>
                <w:bCs/>
                <w:color w:val="auto"/>
                <w:highlight w:val="auto"/>
              </w:rPr>
              <w:t>1</w:t>
            </w:r>
            <w:r>
              <w:rPr>
                <w:rFonts w:hint="eastAsia"/>
                <w:b/>
                <w:bCs/>
                <w:color w:val="auto"/>
                <w:highlight w:val="auto"/>
              </w:rPr>
              <w:t>）中小企业</w:t>
            </w:r>
          </w:p>
          <w:p>
            <w:pPr>
              <w:adjustRightInd w:val="0"/>
              <w:snapToGrid w:val="0"/>
              <w:spacing w:line="360" w:lineRule="auto"/>
              <w:ind w:firstLineChars="200" w:firstLine="420"/>
              <w:rPr>
                <w:color w:val="auto"/>
                <w:highlight w:val="auto"/>
              </w:rPr>
            </w:pPr>
            <w:r>
              <w:rPr>
                <w:rFonts w:hint="eastAsia"/>
                <w:color w:val="auto"/>
                <w:highlight w:val="auto"/>
              </w:rPr>
              <w:t>中小企业是指在中华人民共和国境内依法设立，依据国务院批准的中小企业划分标准确定的中型企业、小型企业和微型企业，但与大企业的负责人为同一人，或者与大企业存在直接控股、管理关系的除外。</w:t>
            </w:r>
          </w:p>
          <w:p>
            <w:pPr>
              <w:adjustRightInd w:val="0"/>
              <w:snapToGrid w:val="0"/>
              <w:spacing w:line="360" w:lineRule="auto"/>
              <w:ind w:firstLineChars="200" w:firstLine="420"/>
              <w:rPr>
                <w:color w:val="auto"/>
                <w:highlight w:val="auto"/>
              </w:rPr>
            </w:pPr>
            <w:r>
              <w:rPr>
                <w:rFonts w:hint="eastAsia"/>
                <w:color w:val="auto"/>
                <w:highlight w:val="auto"/>
              </w:rPr>
              <w:t>符合中小企业划分标准的个体工商户，在政府采购活动中视同中小企业。</w:t>
            </w:r>
          </w:p>
          <w:p>
            <w:pPr>
              <w:adjustRightInd w:val="0"/>
              <w:snapToGrid w:val="0"/>
              <w:spacing w:line="360" w:lineRule="auto"/>
              <w:ind w:firstLineChars="200" w:firstLine="420"/>
              <w:rPr>
                <w:color w:val="auto"/>
                <w:highlight w:val="auto"/>
              </w:rPr>
            </w:pPr>
            <w:r>
              <w:rPr>
                <w:rFonts w:hint="eastAsia"/>
                <w:color w:val="auto"/>
                <w:highlight w:val="auto"/>
              </w:rPr>
              <w:t>符合上述条件的中小企业参加货物采购活动中，货物由中小企业制造，即货物由中小企业生产且使用该中小企业商号或者注册商标的，可享受相关中小企业扶持政策。</w:t>
            </w:r>
          </w:p>
          <w:p>
            <w:pPr>
              <w:adjustRightInd w:val="0"/>
              <w:snapToGrid w:val="0"/>
              <w:spacing w:line="360" w:lineRule="auto"/>
              <w:ind w:firstLineChars="200" w:firstLine="420"/>
              <w:rPr>
                <w:color w:val="auto"/>
                <w:highlight w:val="auto"/>
              </w:rPr>
            </w:pPr>
            <w:r>
              <w:rPr>
                <w:rFonts w:hint="eastAsia"/>
                <w:b/>
                <w:bCs/>
                <w:color w:val="auto"/>
                <w:highlight w:val="auto"/>
              </w:rPr>
              <w:t>在货物采购项目中，供应商提供的货物既有中小企业制造货物，也有大型企业制造货物的，不享受本办法规定的中小企业扶持政策</w:t>
            </w:r>
            <w:r>
              <w:rPr>
                <w:rFonts w:hint="eastAsia"/>
                <w:color w:val="auto"/>
                <w:highlight w:val="auto"/>
              </w:rPr>
              <w:t>。</w:t>
            </w:r>
          </w:p>
          <w:p>
            <w:pPr>
              <w:adjustRightInd w:val="0"/>
              <w:snapToGrid w:val="0"/>
              <w:spacing w:line="360" w:lineRule="auto"/>
              <w:ind w:firstLineChars="200" w:firstLine="420"/>
              <w:rPr>
                <w:color w:val="auto"/>
                <w:highlight w:val="auto"/>
              </w:rPr>
            </w:pPr>
            <w:r>
              <w:rPr>
                <w:rFonts w:hint="eastAsia"/>
                <w:color w:val="auto"/>
                <w:highlight w:val="auto"/>
              </w:rPr>
              <w:t>以联合体形式参加政府采购活动，联合体各方均为中小企业的，联合体视同中小企业。其中，联合体各方均为小微企业的，联合体视同小微企业。</w:t>
            </w:r>
          </w:p>
          <w:p>
            <w:pPr>
              <w:adjustRightInd w:val="0"/>
              <w:snapToGrid w:val="0"/>
              <w:spacing w:line="360" w:lineRule="auto"/>
              <w:rPr>
                <w:b/>
                <w:bCs/>
                <w:color w:val="auto"/>
                <w:szCs w:val="22"/>
                <w:highlight w:val="auto"/>
              </w:rPr>
            </w:pPr>
            <w:r>
              <w:rPr>
                <w:rFonts w:hint="eastAsia"/>
                <w:b/>
                <w:bCs/>
                <w:color w:val="auto"/>
                <w:szCs w:val="22"/>
                <w:highlight w:val="auto"/>
              </w:rPr>
              <w:t>（</w:t>
            </w:r>
            <w:r>
              <w:rPr>
                <w:b/>
                <w:bCs/>
                <w:color w:val="auto"/>
                <w:szCs w:val="22"/>
                <w:highlight w:val="auto"/>
              </w:rPr>
              <w:t>2</w:t>
            </w:r>
            <w:r>
              <w:rPr>
                <w:rFonts w:hint="eastAsia"/>
                <w:b/>
                <w:bCs/>
                <w:color w:val="auto"/>
                <w:szCs w:val="22"/>
                <w:highlight w:val="auto"/>
              </w:rPr>
              <w:t>）残疾人福利性单位</w:t>
            </w:r>
          </w:p>
          <w:p>
            <w:pPr>
              <w:adjustRightInd w:val="0"/>
              <w:snapToGrid w:val="0"/>
              <w:spacing w:line="360" w:lineRule="auto"/>
              <w:ind w:firstLineChars="200" w:firstLine="420"/>
              <w:rPr>
                <w:color w:val="auto"/>
                <w:highlight w:val="auto"/>
              </w:rPr>
            </w:pPr>
            <w:r>
              <w:rPr>
                <w:rFonts w:hint="eastAsia"/>
                <w:color w:val="auto"/>
                <w:highlight w:val="auto"/>
              </w:rPr>
              <w:t>符合《关于促进残疾人就业政府采购政策的通知》（财库〔</w:t>
            </w:r>
            <w:r>
              <w:rPr>
                <w:color w:val="auto"/>
                <w:highlight w:val="auto"/>
              </w:rPr>
              <w:t>2017</w:t>
            </w:r>
            <w:r>
              <w:rPr>
                <w:rFonts w:hint="eastAsia"/>
                <w:color w:val="auto"/>
                <w:highlight w:val="auto"/>
              </w:rPr>
              <w:t>〕</w:t>
            </w:r>
            <w:r>
              <w:rPr>
                <w:color w:val="auto"/>
                <w:highlight w:val="auto"/>
              </w:rPr>
              <w:t>141</w:t>
            </w:r>
            <w:r>
              <w:rPr>
                <w:rFonts w:hint="eastAsia"/>
                <w:color w:val="auto"/>
                <w:highlight w:val="auto"/>
              </w:rPr>
              <w:t>号）规定的条件并提供《残疾人福利性单位声明函》的残疾人福利性单位视同小型、微型企业；</w:t>
            </w:r>
          </w:p>
          <w:p>
            <w:pPr>
              <w:adjustRightInd w:val="0"/>
              <w:snapToGrid w:val="0"/>
              <w:spacing w:line="360" w:lineRule="auto"/>
              <w:rPr>
                <w:b/>
                <w:bCs/>
                <w:color w:val="auto"/>
                <w:szCs w:val="22"/>
                <w:highlight w:val="auto"/>
              </w:rPr>
            </w:pPr>
            <w:r>
              <w:rPr>
                <w:rFonts w:hint="eastAsia"/>
                <w:b/>
                <w:bCs/>
                <w:color w:val="auto"/>
                <w:szCs w:val="22"/>
                <w:highlight w:val="auto"/>
              </w:rPr>
              <w:t>（</w:t>
            </w:r>
            <w:r>
              <w:rPr>
                <w:b/>
                <w:bCs/>
                <w:color w:val="auto"/>
                <w:szCs w:val="22"/>
                <w:highlight w:val="auto"/>
              </w:rPr>
              <w:t>3</w:t>
            </w:r>
            <w:r>
              <w:rPr>
                <w:rFonts w:hint="eastAsia"/>
                <w:b/>
                <w:bCs/>
                <w:color w:val="auto"/>
                <w:szCs w:val="22"/>
                <w:highlight w:val="auto"/>
              </w:rPr>
              <w:t>）监狱企业</w:t>
            </w:r>
          </w:p>
          <w:p>
            <w:pPr>
              <w:adjustRightInd w:val="0"/>
              <w:snapToGrid w:val="0"/>
              <w:spacing w:line="360" w:lineRule="auto"/>
              <w:ind w:firstLineChars="200" w:firstLine="420"/>
              <w:rPr>
                <w:color w:val="auto"/>
                <w:highlight w:val="auto"/>
              </w:rPr>
            </w:pPr>
            <w:r>
              <w:rPr>
                <w:rFonts w:hint="eastAsia"/>
                <w:color w:val="auto"/>
                <w:highlight w:val="auto"/>
              </w:rPr>
              <w:t>根据《关于政府采购支持监狱企业发展有关问题的通知》（财库</w:t>
            </w:r>
            <w:r>
              <w:rPr>
                <w:color w:val="auto"/>
                <w:highlight w:val="auto"/>
              </w:rPr>
              <w:t>[2014]68</w:t>
            </w:r>
            <w:r>
              <w:rPr>
                <w:rFonts w:hint="eastAsia"/>
                <w:color w:val="auto"/>
                <w:highlight w:val="auto"/>
              </w:rPr>
              <w:t>号）的规定，投标人提供由省级以上监狱管理局、戒毒管理局（含新疆生产建设兵团）出具的属于监狱企业证明文件的，视同为小型和微型企业。</w:t>
            </w:r>
          </w:p>
          <w:p>
            <w:pPr>
              <w:adjustRightInd w:val="0"/>
              <w:snapToGrid w:val="0"/>
              <w:spacing w:line="360" w:lineRule="auto"/>
              <w:rPr>
                <w:b/>
                <w:bCs/>
                <w:color w:val="auto"/>
                <w:highlight w:val="auto"/>
              </w:rPr>
            </w:pPr>
            <w:r>
              <w:rPr>
                <w:rFonts w:hint="eastAsia"/>
                <w:b/>
                <w:bCs/>
                <w:color w:val="auto"/>
                <w:highlight w:val="auto"/>
              </w:rPr>
              <w:t>二、针对本项目的相关规定</w:t>
            </w:r>
          </w:p>
          <w:p>
            <w:pPr>
              <w:adjustRightInd w:val="0"/>
              <w:snapToGrid w:val="0"/>
              <w:spacing w:line="360" w:lineRule="auto"/>
              <w:ind w:firstLineChars="100" w:firstLine="210"/>
              <w:rPr>
                <w:rFonts w:ascii="宋体" w:eastAsia="宋体" w:cs="宋体"/>
                <w:snapToGrid w:val="0"/>
                <w:color w:val="auto"/>
                <w:kern w:val="0"/>
                <w:lang w:val="en-US" w:eastAsia="zh-CN"/>
                <w:highlight w:val="auto"/>
              </w:rPr>
            </w:pPr>
            <w:r>
              <w:rPr>
                <w:rFonts w:hint="eastAsia"/>
                <w:b/>
                <w:bCs/>
                <w:color w:val="auto"/>
                <w:lang w:val="en-US" w:eastAsia="zh-CN"/>
                <w:highlight w:val="auto"/>
              </w:rPr>
              <w:t>1</w:t>
            </w:r>
            <w:r>
              <w:rPr>
                <w:b/>
                <w:bCs/>
                <w:color w:val="auto"/>
                <w:highlight w:val="auto"/>
              </w:rPr>
              <w:t>.</w:t>
            </w:r>
            <w:r>
              <w:rPr>
                <w:rFonts w:hint="eastAsia"/>
                <w:b/>
                <w:bCs/>
                <w:color w:val="auto"/>
                <w:highlight w:val="auto"/>
              </w:rPr>
              <w:t>本项目采购标的对应的中小企业计划分标准所属行业为：</w:t>
            </w:r>
            <w:r>
              <w:rPr>
                <w:b/>
                <w:bCs/>
                <w:color w:val="auto"/>
                <w:u w:val="single"/>
                <w:highlight w:val="auto"/>
              </w:rPr>
              <w:t xml:space="preserve"> </w:t>
            </w:r>
            <w:r>
              <w:rPr>
                <w:rFonts w:hint="eastAsia"/>
                <w:b/>
                <w:bCs/>
                <w:color w:val="auto"/>
                <w:u w:val="single"/>
                <w:highlight w:val="auto"/>
              </w:rPr>
              <w:t>工业</w:t>
            </w:r>
            <w:r>
              <w:rPr>
                <w:b/>
                <w:bCs/>
                <w:color w:val="auto"/>
                <w:u w:val="single"/>
                <w:highlight w:val="auto"/>
              </w:rPr>
              <w:t xml:space="preserve"> </w:t>
            </w:r>
            <w:r>
              <w:rPr>
                <w:rFonts w:hint="eastAsia"/>
                <w:b/>
                <w:bCs/>
                <w:color w:val="auto"/>
                <w:highlight w:val="auto"/>
              </w:rPr>
              <w:t>。</w:t>
            </w:r>
            <w:r>
              <w:rPr>
                <w:rFonts w:hint="eastAsia"/>
                <w:b/>
                <w:bCs/>
                <w:color w:val="auto"/>
                <w:lang w:val="en-US" w:eastAsia="zh-CN"/>
                <w:highlight w:val="auto"/>
              </w:rPr>
              <w:t>本项目为</w:t>
            </w:r>
            <w:r>
              <w:rPr>
                <w:rFonts w:hint="eastAsia"/>
                <w:b/>
                <w:bCs/>
                <w:color w:val="auto"/>
                <w:u w:val="single"/>
                <w:lang w:val="en-US" w:eastAsia="zh-CN"/>
                <w:highlight w:val="auto"/>
              </w:rPr>
              <w:t>货物采购</w:t>
            </w:r>
            <w:r>
              <w:rPr>
                <w:rFonts w:hint="eastAsia"/>
                <w:b/>
                <w:bCs/>
                <w:color w:val="auto"/>
                <w:lang w:val="en-US" w:eastAsia="zh-CN"/>
                <w:highlight w:val="auto"/>
              </w:rPr>
              <w:t>。</w:t>
            </w:r>
          </w:p>
        </w:tc>
      </w:tr>
      <w:tr>
        <w:trPr>
          <w:trHeight w:val="1987"/>
        </w:trPr>
        <w:tc>
          <w:tcPr>
            <w:tcW w:w="648" w:type="dxa"/>
            <w:tcBorders>
              <w:tl2br w:val="nil"/>
              <w:tr2bl w:val="nil"/>
            </w:tcBorders>
            <w:vAlign w:val="center"/>
          </w:tcPr>
          <w:p>
            <w:pPr>
              <w:pStyle w:val="78"/>
              <w:adjustRightInd/>
              <w:spacing w:line="360" w:lineRule="auto"/>
              <w:rPr>
                <w:rFonts w:eastAsia="宋体" w:hint="eastAsia"/>
                <w:color w:val="auto"/>
                <w:sz w:val="21"/>
                <w:szCs w:val="21"/>
                <w:lang w:eastAsia="zh-CN"/>
                <w:highlight w:val="auto"/>
              </w:rPr>
            </w:pPr>
            <w:r>
              <w:rPr>
                <w:color w:val="auto"/>
                <w:sz w:val="21"/>
                <w:szCs w:val="21"/>
                <w:highlight w:val="auto"/>
              </w:rPr>
              <w:t>2</w:t>
            </w:r>
            <w:r>
              <w:rPr>
                <w:rFonts w:hint="eastAsia"/>
                <w:color w:val="auto"/>
                <w:sz w:val="21"/>
                <w:szCs w:val="21"/>
                <w:lang w:val="en-US" w:eastAsia="zh-CN"/>
                <w:highlight w:val="auto"/>
              </w:rPr>
              <w:t>6</w:t>
            </w:r>
          </w:p>
        </w:tc>
        <w:tc>
          <w:tcPr>
            <w:tcW w:w="1800" w:type="dxa"/>
            <w:tcBorders>
              <w:tl2br w:val="nil"/>
              <w:tr2bl w:val="nil"/>
            </w:tcBorders>
            <w:vAlign w:val="center"/>
          </w:tcPr>
          <w:p>
            <w:pPr>
              <w:adjustRightInd w:val="0"/>
              <w:snapToGrid w:val="0"/>
              <w:spacing w:line="360" w:lineRule="auto"/>
              <w:jc w:val="center"/>
              <w:rPr>
                <w:rFonts w:ascii="宋体" w:cs="宋体"/>
                <w:snapToGrid w:val="0"/>
                <w:color w:val="auto"/>
                <w:kern w:val="0"/>
                <w:highlight w:val="auto"/>
              </w:rPr>
            </w:pPr>
            <w:r>
              <w:rPr>
                <w:rFonts w:ascii="宋体" w:cs="宋体" w:hint="eastAsia"/>
                <w:snapToGrid w:val="0"/>
                <w:color w:val="auto"/>
                <w:kern w:val="0"/>
                <w:highlight w:val="auto"/>
              </w:rPr>
              <w:t>其他</w:t>
            </w:r>
          </w:p>
        </w:tc>
        <w:tc>
          <w:tcPr>
            <w:tcW w:w="6383" w:type="dxa"/>
            <w:tcBorders>
              <w:tl2br w:val="nil"/>
              <w:tr2bl w:val="nil"/>
            </w:tcBorders>
            <w:vAlign w:val="center"/>
          </w:tcPr>
          <w:p>
            <w:pPr>
              <w:adjustRightInd w:val="0"/>
              <w:snapToGrid w:val="0"/>
              <w:spacing w:line="360" w:lineRule="auto"/>
              <w:rPr>
                <w:b/>
                <w:bCs/>
                <w:color w:val="auto"/>
                <w:highlight w:val="auto"/>
              </w:rPr>
            </w:pPr>
            <w:r>
              <w:rPr>
                <w:rFonts w:hint="eastAsia"/>
                <w:b/>
                <w:bCs/>
                <w:color w:val="auto"/>
                <w:highlight w:val="auto"/>
              </w:rPr>
              <w:t>本项目投标文件递交允许邮寄，邮寄地址：嘉兴市秀洲区洪波路1200号万豪广场12楼1204室。杨丽莉，15068182356，（建议顺丰，</w:t>
            </w:r>
            <w:r>
              <w:rPr>
                <w:rStyle w:val="50"/>
                <w:rFonts w:hint="eastAsia"/>
                <w:b/>
                <w:bCs/>
                <w:color w:val="auto"/>
                <w:highlight w:val="auto"/>
              </w:rPr>
              <w:fldChar w:fldCharType="begin"/>
            </w:r>
            <w:r>
              <w:instrText>HYPERLINK "mailto:寄出后把邮寄单号和单位名称发到466740141@qq.com"</w:instrText>
            </w:r>
            <w:r>
              <w:rPr>
                <w:rStyle w:val="50"/>
                <w:rFonts w:hint="eastAsia"/>
                <w:b/>
                <w:bCs/>
                <w:color w:val="auto"/>
                <w:highlight w:val="auto"/>
              </w:rPr>
              <w:fldChar w:fldCharType="separate"/>
            </w:r>
            <w:r>
              <w:rPr>
                <w:rStyle w:val="50"/>
                <w:rFonts w:hint="eastAsia"/>
                <w:b/>
                <w:bCs/>
                <w:color w:val="auto"/>
                <w:highlight w:val="auto"/>
              </w:rPr>
              <w:t>寄出后把邮寄单号和单位名称发到376790573@qq.com</w:t>
            </w:r>
            <w:r>
              <w:rPr>
                <w:rStyle w:val="50"/>
                <w:rFonts w:hint="eastAsia"/>
                <w:b/>
                <w:bCs/>
                <w:color w:val="auto"/>
                <w:highlight w:val="auto"/>
              </w:rPr>
              <w:fldChar w:fldCharType="end"/>
            </w:r>
            <w:r>
              <w:rPr>
                <w:rFonts w:hint="eastAsia"/>
                <w:b/>
                <w:bCs/>
                <w:color w:val="auto"/>
                <w:highlight w:val="auto"/>
              </w:rPr>
              <w:t>的邮箱方便确认），须在投标截止时间前邮寄到位（若因邮寄时间不准确导致投标截止时间前无法送达的、邮寄导致密封性受损的责任由供应商自行承担）</w:t>
            </w:r>
          </w:p>
        </w:tc>
      </w:tr>
      <w:tr>
        <w:trPr>
          <w:trHeight w:val="1072"/>
        </w:trPr>
        <w:tc>
          <w:tcPr>
            <w:tcW w:w="648" w:type="dxa"/>
            <w:tcBorders>
              <w:tl2br w:val="nil"/>
              <w:tr2bl w:val="nil"/>
            </w:tcBorders>
            <w:vAlign w:val="center"/>
          </w:tcPr>
          <w:p>
            <w:pPr>
              <w:pStyle w:val="78"/>
              <w:adjustRightInd/>
              <w:spacing w:line="360" w:lineRule="auto"/>
              <w:rPr>
                <w:rFonts w:eastAsia="宋体"/>
                <w:color w:val="auto"/>
                <w:sz w:val="21"/>
                <w:szCs w:val="21"/>
                <w:lang w:val="en-US" w:eastAsia="zh-CN"/>
                <w:highlight w:val="auto"/>
              </w:rPr>
            </w:pPr>
            <w:bookmarkStart w:id="16" w:name="_Toc488655831"/>
            <w:bookmarkStart w:id="17" w:name="_Toc107822484"/>
            <w:bookmarkStart w:id="18" w:name="_Toc227057885"/>
            <w:bookmarkStart w:id="19" w:name="_Toc226969278"/>
            <w:r>
              <w:rPr>
                <w:rFonts w:hint="eastAsia"/>
                <w:color w:val="auto"/>
                <w:sz w:val="21"/>
                <w:szCs w:val="21"/>
                <w:lang w:val="en-US" w:eastAsia="zh-CN"/>
                <w:highlight w:val="auto"/>
              </w:rPr>
              <w:t>27</w:t>
            </w:r>
          </w:p>
        </w:tc>
        <w:tc>
          <w:tcPr>
            <w:tcW w:w="1800" w:type="dxa"/>
            <w:tcBorders>
              <w:tl2br w:val="nil"/>
              <w:tr2bl w:val="nil"/>
            </w:tcBorders>
            <w:vAlign w:val="center"/>
          </w:tcPr>
          <w:p>
            <w:pPr>
              <w:adjustRightInd w:val="0"/>
              <w:snapToGrid w:val="0"/>
              <w:spacing w:line="360" w:lineRule="auto"/>
              <w:jc w:val="center"/>
              <w:rPr>
                <w:rFonts w:ascii="宋体" w:eastAsia="宋体" w:cs="宋体"/>
                <w:snapToGrid w:val="0"/>
                <w:color w:val="auto"/>
                <w:kern w:val="0"/>
                <w:lang w:val="en-US" w:eastAsia="zh-CN"/>
                <w:highlight w:val="auto"/>
              </w:rPr>
            </w:pPr>
            <w:r>
              <w:rPr>
                <w:rFonts w:ascii="宋体" w:cs="宋体" w:hint="eastAsia"/>
                <w:snapToGrid w:val="0"/>
                <w:color w:val="auto"/>
                <w:kern w:val="0"/>
                <w:lang w:val="en-US" w:eastAsia="zh-CN"/>
                <w:highlight w:val="auto"/>
              </w:rPr>
              <w:t>分包与转包</w:t>
            </w:r>
          </w:p>
        </w:tc>
        <w:tc>
          <w:tcPr>
            <w:tcW w:w="6383" w:type="dxa"/>
            <w:tcBorders>
              <w:tl2br w:val="nil"/>
              <w:tr2bl w:val="nil"/>
            </w:tcBorders>
            <w:vAlign w:val="center"/>
          </w:tcPr>
          <w:p>
            <w:pPr>
              <w:adjustRightInd w:val="0"/>
              <w:snapToGrid w:val="0"/>
              <w:spacing w:line="360" w:lineRule="auto"/>
              <w:rPr>
                <w:rFonts w:eastAsia="宋体" w:hint="eastAsia"/>
                <w:b/>
                <w:bCs/>
                <w:color w:val="auto"/>
                <w:lang w:val="en-US" w:eastAsia="zh-CN"/>
                <w:highlight w:val="auto"/>
              </w:rPr>
            </w:pPr>
            <w:r>
              <w:rPr>
                <w:rFonts w:hint="eastAsia"/>
                <w:b/>
                <w:bCs/>
                <w:color w:val="auto"/>
                <w:lang w:val="en-US" w:eastAsia="zh-CN"/>
                <w:highlight w:val="auto"/>
              </w:rPr>
              <w:t>不允许</w:t>
            </w:r>
          </w:p>
        </w:tc>
      </w:tr>
    </w:tbl>
    <w:p>
      <w:pPr>
        <w:adjustRightInd w:val="0"/>
        <w:snapToGrid w:val="0"/>
        <w:rPr>
          <w:rFonts w:ascii="宋体"/>
          <w:b/>
          <w:color w:val="auto"/>
          <w:sz w:val="24"/>
          <w:highlight w:val="auto"/>
        </w:rPr>
      </w:pPr>
      <w:r>
        <w:rPr>
          <w:rFonts w:ascii="宋体" w:hint="eastAsia"/>
          <w:snapToGrid w:val="0"/>
          <w:color w:val="auto"/>
          <w:kern w:val="0"/>
          <w:szCs w:val="21"/>
          <w:highlight w:val="auto"/>
        </w:rPr>
        <w:t>注：以上内容如有变化将另行书面通知。如通知其中某一内容发生变化，其余未提及的将不作变动。</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r>
        <w:rPr>
          <w:rFonts w:ascii="宋体" w:eastAsia="宋体"/>
          <w:b w:val="0"/>
          <w:color w:val="auto"/>
          <w:sz w:val="24"/>
          <w:szCs w:val="24"/>
          <w:highlight w:val="auto"/>
        </w:rPr>
        <w:br w:type="page"/>
      </w:r>
      <w:bookmarkStart w:id="20" w:name="_Toc17319"/>
      <w:bookmarkStart w:id="21" w:name="_Toc367274977"/>
      <w:bookmarkStart w:id="22" w:name="_Toc60757521"/>
      <w:bookmarkStart w:id="23" w:name="_Toc251566650"/>
      <w:bookmarkStart w:id="24" w:name="_Toc240450077"/>
      <w:r>
        <w:rPr>
          <w:rFonts w:ascii="宋体" w:eastAsia="宋体" w:hint="eastAsia"/>
          <w:snapToGrid w:val="0"/>
          <w:color w:val="auto"/>
          <w:sz w:val="21"/>
          <w:szCs w:val="21"/>
          <w:highlight w:val="auto"/>
        </w:rPr>
        <w:t>一、总则</w:t>
      </w:r>
      <w:bookmarkEnd w:id="20"/>
      <w:bookmarkEnd w:id="21"/>
      <w:bookmarkEnd w:id="22"/>
      <w:bookmarkEnd w:id="23"/>
      <w:bookmarkEnd w:id="24"/>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本次招标工作是按照《中华人民共和国政府采购法》等相关法律法规组织和实施，</w:t>
      </w:r>
      <w:r>
        <w:rPr>
          <w:rFonts w:ascii="宋体" w:hint="eastAsia"/>
          <w:color w:val="auto"/>
          <w:szCs w:val="21"/>
          <w:highlight w:val="auto"/>
        </w:rPr>
        <w:t>并由政府采购管理部门指导和监督</w:t>
      </w:r>
      <w:r>
        <w:rPr>
          <w:rFonts w:ascii="宋体" w:hint="eastAsia"/>
          <w:snapToGrid w:val="0"/>
          <w:color w:val="auto"/>
          <w:kern w:val="0"/>
          <w:szCs w:val="21"/>
          <w:highlight w:val="auto"/>
        </w:rPr>
        <w:t>。</w:t>
      </w:r>
    </w:p>
    <w:p>
      <w:pPr>
        <w:tabs>
          <w:tab w:val="left" w:pos="2520"/>
        </w:tabs>
        <w:adjustRightInd w:val="0"/>
        <w:snapToGrid w:val="0"/>
        <w:spacing w:line="360" w:lineRule="auto"/>
        <w:ind w:firstLineChars="200" w:firstLine="420"/>
        <w:rPr>
          <w:rFonts w:ascii="宋体"/>
          <w:b/>
          <w:snapToGrid w:val="0"/>
          <w:color w:val="auto"/>
          <w:kern w:val="0"/>
          <w:szCs w:val="21"/>
          <w:highlight w:val="auto"/>
        </w:rPr>
      </w:pPr>
      <w:bookmarkStart w:id="25" w:name="_Toc251566652"/>
      <w:bookmarkStart w:id="26" w:name="_Toc240450079"/>
      <w:r>
        <w:rPr>
          <w:rFonts w:ascii="宋体"/>
          <w:b/>
          <w:snapToGrid w:val="0"/>
          <w:color w:val="auto"/>
          <w:kern w:val="0"/>
          <w:szCs w:val="21"/>
          <w:highlight w:val="auto"/>
        </w:rPr>
        <w:t>1</w:t>
      </w:r>
      <w:r>
        <w:rPr>
          <w:rFonts w:ascii="宋体" w:hint="eastAsia"/>
          <w:b/>
          <w:snapToGrid w:val="0"/>
          <w:color w:val="auto"/>
          <w:kern w:val="0"/>
          <w:szCs w:val="21"/>
          <w:highlight w:val="auto"/>
        </w:rPr>
        <w:t>．适用范围</w:t>
      </w:r>
    </w:p>
    <w:p>
      <w:pPr>
        <w:tabs>
          <w:tab w:val="left" w:pos="2520"/>
        </w:tabs>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1.1 </w:t>
      </w:r>
      <w:r>
        <w:rPr>
          <w:rFonts w:ascii="宋体" w:hint="eastAsia"/>
          <w:snapToGrid w:val="0"/>
          <w:color w:val="auto"/>
          <w:kern w:val="0"/>
          <w:szCs w:val="21"/>
          <w:highlight w:val="auto"/>
        </w:rPr>
        <w:t>本采购文件仅适用于本次招标项目。</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1.2 </w:t>
      </w:r>
      <w:r>
        <w:rPr>
          <w:rFonts w:ascii="宋体" w:hint="eastAsia"/>
          <w:snapToGrid w:val="0"/>
          <w:color w:val="auto"/>
          <w:kern w:val="0"/>
          <w:szCs w:val="21"/>
          <w:highlight w:val="auto"/>
        </w:rPr>
        <w:t>本项目采购方式为公开招标。</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w:t>
      </w:r>
      <w:r>
        <w:rPr>
          <w:rFonts w:ascii="宋体" w:hint="eastAsia"/>
          <w:b/>
          <w:snapToGrid w:val="0"/>
          <w:color w:val="auto"/>
          <w:kern w:val="0"/>
          <w:szCs w:val="21"/>
          <w:highlight w:val="auto"/>
        </w:rPr>
        <w:t>．定义</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2.1 </w:t>
      </w:r>
      <w:r>
        <w:rPr>
          <w:rFonts w:ascii="宋体" w:hint="eastAsia"/>
          <w:snapToGrid w:val="0"/>
          <w:color w:val="auto"/>
          <w:kern w:val="0"/>
          <w:szCs w:val="21"/>
          <w:highlight w:val="auto"/>
        </w:rPr>
        <w:t>“采购人”系指嘉兴海关综合技术服务中心。</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2.2 </w:t>
      </w:r>
      <w:r>
        <w:rPr>
          <w:rFonts w:ascii="宋体" w:hint="eastAsia"/>
          <w:snapToGrid w:val="0"/>
          <w:color w:val="auto"/>
          <w:kern w:val="0"/>
          <w:szCs w:val="21"/>
          <w:highlight w:val="auto"/>
        </w:rPr>
        <w:t>“采购代理机构”系指大地工程咨询有限公司。</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2.3 </w:t>
      </w:r>
      <w:r>
        <w:rPr>
          <w:rFonts w:ascii="宋体" w:hint="eastAsia"/>
          <w:snapToGrid w:val="0"/>
          <w:color w:val="auto"/>
          <w:kern w:val="0"/>
          <w:szCs w:val="21"/>
          <w:highlight w:val="auto"/>
        </w:rPr>
        <w:t>“供应商”系指响应本次招标，参加本次投标的非联合体供应商。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2.4 </w:t>
      </w:r>
      <w:r>
        <w:rPr>
          <w:rFonts w:ascii="宋体" w:hint="eastAsia"/>
          <w:snapToGrid w:val="0"/>
          <w:color w:val="auto"/>
          <w:kern w:val="0"/>
          <w:szCs w:val="21"/>
          <w:highlight w:val="auto"/>
        </w:rPr>
        <w:t>“货物”系指供应商按采购文件或合同要求，须向采购人提供的一切材料、设备、机械、仪器、备件、配件、工具、手册及其他技术资料和文字材料。</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2.5 </w:t>
      </w:r>
      <w:r>
        <w:rPr>
          <w:rFonts w:ascii="宋体" w:hint="eastAsia"/>
          <w:snapToGrid w:val="0"/>
          <w:color w:val="auto"/>
          <w:kern w:val="0"/>
          <w:szCs w:val="21"/>
          <w:highlight w:val="auto"/>
        </w:rPr>
        <w:t>“服务”系指采购文件或合同规定供应商须承担的设计、制作、供货、安装、售后服务以及其他类似的义务。</w:t>
      </w:r>
    </w:p>
    <w:p>
      <w:pPr>
        <w:adjustRightInd w:val="0"/>
        <w:snapToGrid w:val="0"/>
        <w:spacing w:beforeLines="50" w:before="156" w:line="360" w:lineRule="auto"/>
        <w:ind w:firstLineChars="200" w:firstLine="420"/>
        <w:rPr>
          <w:rFonts w:ascii="宋体" w:cs="宋体"/>
          <w:b/>
          <w:snapToGrid w:val="0"/>
          <w:color w:val="auto"/>
          <w:kern w:val="0"/>
          <w:szCs w:val="21"/>
          <w:highlight w:val="auto"/>
        </w:rPr>
      </w:pPr>
      <w:r>
        <w:rPr>
          <w:rFonts w:ascii="宋体" w:cs="宋体"/>
          <w:b/>
          <w:snapToGrid w:val="0"/>
          <w:color w:val="auto"/>
          <w:kern w:val="0"/>
          <w:szCs w:val="21"/>
          <w:highlight w:val="auto"/>
        </w:rPr>
        <w:t>3</w:t>
      </w:r>
      <w:r>
        <w:rPr>
          <w:rFonts w:ascii="宋体" w:cs="宋体" w:hint="eastAsia"/>
          <w:b/>
          <w:snapToGrid w:val="0"/>
          <w:color w:val="auto"/>
          <w:kern w:val="0"/>
          <w:szCs w:val="21"/>
          <w:highlight w:val="auto"/>
        </w:rPr>
        <w:t>．合格的投标人及合格的投标货物和服务</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3.1</w:t>
      </w:r>
      <w:r>
        <w:rPr>
          <w:rFonts w:ascii="宋体" w:cs="宋体" w:hint="eastAsia"/>
          <w:snapToGrid w:val="0"/>
          <w:color w:val="auto"/>
          <w:kern w:val="0"/>
          <w:highlight w:val="auto"/>
        </w:rPr>
        <w:t>合格的投标人，详见采购公告第二条规定的投标人必须具备的资格条件并经采购人或采购代理机构审查通过的。</w:t>
      </w:r>
    </w:p>
    <w:p>
      <w:pPr>
        <w:adjustRightInd w:val="0"/>
        <w:snapToGrid w:val="0"/>
        <w:spacing w:line="360" w:lineRule="auto"/>
        <w:ind w:firstLineChars="200" w:firstLine="420"/>
        <w:rPr>
          <w:rFonts w:ascii="宋体" w:cs="宋体"/>
          <w:b/>
          <w:bCs/>
          <w:snapToGrid w:val="0"/>
          <w:color w:val="auto"/>
          <w:kern w:val="0"/>
          <w:highlight w:val="auto"/>
        </w:rPr>
      </w:pPr>
      <w:r>
        <w:rPr>
          <w:rFonts w:ascii="宋体" w:cs="宋体"/>
          <w:b/>
          <w:bCs/>
          <w:snapToGrid w:val="0"/>
          <w:color w:val="auto"/>
          <w:kern w:val="0"/>
          <w:highlight w:val="auto"/>
        </w:rPr>
        <w:t>3.2</w:t>
      </w:r>
      <w:r>
        <w:rPr>
          <w:rFonts w:ascii="宋体" w:cs="宋体" w:hint="eastAsia"/>
          <w:b/>
          <w:bCs/>
          <w:snapToGrid w:val="0"/>
          <w:color w:val="auto"/>
          <w:kern w:val="0"/>
          <w:highlight w:val="auto"/>
        </w:rPr>
        <w:t>对投标人的限制</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3.2.1</w:t>
      </w:r>
      <w:r>
        <w:rPr>
          <w:rFonts w:ascii="宋体" w:cs="宋体" w:hint="eastAsia"/>
          <w:snapToGrid w:val="0"/>
          <w:color w:val="auto"/>
          <w:kern w:val="0"/>
          <w:highlight w:val="auto"/>
        </w:rPr>
        <w:t>单位负责人（指法定代表人或者法律、行政法规规定代表单位行使职权的主要负责人）为同一人或者存在直接控股、管理关系的不同供应商不得分别参加同一合同项下的采购活动。违反本条规定的，相关投标均无效；</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3.2.2</w:t>
      </w:r>
      <w:r>
        <w:rPr>
          <w:rFonts w:ascii="宋体" w:cs="宋体" w:hint="eastAsia"/>
          <w:snapToGrid w:val="0"/>
          <w:color w:val="auto"/>
          <w:kern w:val="0"/>
          <w:highlight w:val="auto"/>
        </w:rPr>
        <w:t>为本项目提供过整体设计、规范编制或者项目管理、监理、检测等服务的供应商，不得再参加该采购项目的其他采购活动（不包括为该项目提供整体设计、规范编制或者项目管理、监理、检测等服务）；</w:t>
      </w:r>
    </w:p>
    <w:p>
      <w:pPr>
        <w:adjustRightInd w:val="0"/>
        <w:snapToGrid w:val="0"/>
        <w:spacing w:line="360" w:lineRule="auto"/>
        <w:ind w:firstLineChars="200" w:firstLine="420"/>
        <w:rPr>
          <w:rFonts w:ascii="宋体" w:cs="宋体"/>
          <w:snapToGrid w:val="0"/>
          <w:color w:val="auto"/>
          <w:kern w:val="0"/>
          <w:highlight w:val="auto"/>
        </w:rPr>
      </w:pPr>
      <w:r>
        <w:rPr>
          <w:rFonts w:ascii="宋体" w:cs="宋体"/>
          <w:snapToGrid w:val="0"/>
          <w:color w:val="auto"/>
          <w:kern w:val="0"/>
          <w:highlight w:val="auto"/>
        </w:rPr>
        <w:t>3.2.3</w:t>
      </w:r>
      <w:r>
        <w:rPr>
          <w:rFonts w:ascii="宋体" w:cs="宋体" w:hint="eastAsia"/>
          <w:snapToGrid w:val="0"/>
          <w:color w:val="auto"/>
          <w:kern w:val="0"/>
          <w:highlight w:val="auto"/>
        </w:rPr>
        <w:t>以联合体形式参加政府采购活动的，联合体各方不得再单独参加或者与其他投标人另外组成联合体参加同一合同项下的政府采购活动；</w:t>
      </w:r>
    </w:p>
    <w:p>
      <w:pPr>
        <w:adjustRightInd w:val="0"/>
        <w:snapToGrid w:val="0"/>
        <w:spacing w:line="360" w:lineRule="auto"/>
        <w:ind w:firstLineChars="200" w:firstLine="420"/>
        <w:rPr>
          <w:rFonts w:ascii="宋体"/>
          <w:snapToGrid w:val="0"/>
          <w:color w:val="auto"/>
          <w:kern w:val="0"/>
          <w:highlight w:val="auto"/>
        </w:rPr>
      </w:pPr>
      <w:r>
        <w:rPr>
          <w:rFonts w:ascii="宋体" w:cs="宋体"/>
          <w:snapToGrid w:val="0"/>
          <w:color w:val="auto"/>
          <w:kern w:val="0"/>
          <w:highlight w:val="auto"/>
        </w:rPr>
        <w:t>3.2.4</w:t>
      </w:r>
      <w:r>
        <w:rPr>
          <w:rFonts w:ascii="宋体" w:cs="宋体" w:hint="eastAsia"/>
          <w:snapToGrid w:val="0"/>
          <w:color w:val="auto"/>
          <w:kern w:val="0"/>
          <w:highlight w:val="auto"/>
        </w:rPr>
        <w:t>为证明投标人拥有的业绩、荣誉、知识产权、项目案例等而在投标文件中提供的证明材料必须为投标人自身所有。不同法人、其他组织的资料与投标人无关。</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4</w:t>
      </w:r>
      <w:r>
        <w:rPr>
          <w:rFonts w:ascii="宋体" w:hint="eastAsia"/>
          <w:b/>
          <w:snapToGrid w:val="0"/>
          <w:color w:val="auto"/>
          <w:kern w:val="0"/>
          <w:szCs w:val="21"/>
          <w:highlight w:val="auto"/>
        </w:rPr>
        <w:t>．相关说明</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snapToGrid w:val="0"/>
          <w:color w:val="auto"/>
          <w:kern w:val="0"/>
          <w:szCs w:val="21"/>
          <w:highlight w:val="auto"/>
        </w:rPr>
        <w:t xml:space="preserve">4.1 </w:t>
      </w:r>
      <w:r>
        <w:rPr>
          <w:rFonts w:ascii="宋体" w:cs="宋体" w:hint="eastAsia"/>
          <w:snapToGrid w:val="0"/>
          <w:color w:val="auto"/>
          <w:kern w:val="0"/>
          <w:szCs w:val="21"/>
          <w:highlight w:val="auto"/>
        </w:rPr>
        <w:t>投标费用</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投标人应承担其参加投标所涉及的一切费用，不管投标结果如何，采购人对这些费用不负任何责任。</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snapToGrid w:val="0"/>
          <w:color w:val="auto"/>
          <w:kern w:val="0"/>
          <w:szCs w:val="21"/>
          <w:highlight w:val="auto"/>
        </w:rPr>
        <w:t xml:space="preserve">4.2 </w:t>
      </w:r>
      <w:r>
        <w:rPr>
          <w:rFonts w:ascii="宋体" w:cs="宋体" w:hint="eastAsia"/>
          <w:snapToGrid w:val="0"/>
          <w:color w:val="auto"/>
          <w:kern w:val="0"/>
          <w:szCs w:val="21"/>
          <w:highlight w:val="auto"/>
        </w:rPr>
        <w:t>投标人应仔细阅读采购文件的所有内容，按照采购文件的要求提交投标文件。投标文件应对采购文件的要求作出实质性响应，并对所提供的全部资料的真实性承担法律责任。</w:t>
      </w:r>
    </w:p>
    <w:p>
      <w:pPr>
        <w:adjustRightInd w:val="0"/>
        <w:snapToGrid w:val="0"/>
        <w:spacing w:line="360" w:lineRule="auto"/>
        <w:ind w:firstLineChars="200" w:firstLine="420"/>
        <w:rPr>
          <w:rFonts w:ascii="宋体" w:cs="宋体"/>
          <w:b/>
          <w:bCs/>
          <w:snapToGrid w:val="0"/>
          <w:color w:val="auto"/>
          <w:kern w:val="0"/>
          <w:szCs w:val="21"/>
          <w:highlight w:val="auto"/>
        </w:rPr>
      </w:pPr>
      <w:r>
        <w:rPr>
          <w:rFonts w:ascii="宋体" w:cs="宋体"/>
          <w:b/>
          <w:bCs/>
          <w:snapToGrid w:val="0"/>
          <w:color w:val="auto"/>
          <w:kern w:val="0"/>
          <w:szCs w:val="21"/>
          <w:highlight w:val="auto"/>
        </w:rPr>
        <w:t>4.3</w:t>
      </w:r>
      <w:r>
        <w:rPr>
          <w:rFonts w:ascii="宋体" w:cs="宋体" w:hint="eastAsia"/>
          <w:b/>
          <w:bCs/>
          <w:snapToGrid w:val="0"/>
          <w:color w:val="auto"/>
          <w:kern w:val="0"/>
          <w:szCs w:val="21"/>
          <w:highlight w:val="auto"/>
        </w:rPr>
        <w:t>投标人投标所使用的资格、信誉、荣誉、业绩与企业认证必须为本法人所拥有。投标人投标拟派项目实施人员必须为本法人员工。</w:t>
      </w:r>
    </w:p>
    <w:p>
      <w:pPr>
        <w:adjustRightInd w:val="0"/>
        <w:snapToGrid w:val="0"/>
        <w:spacing w:line="360" w:lineRule="auto"/>
        <w:ind w:firstLineChars="200" w:firstLine="420"/>
        <w:rPr>
          <w:rFonts w:ascii="宋体" w:cs="宋体"/>
          <w:b/>
          <w:bCs/>
          <w:snapToGrid w:val="0"/>
          <w:color w:val="auto"/>
          <w:kern w:val="0"/>
          <w:szCs w:val="21"/>
          <w:highlight w:val="auto"/>
        </w:rPr>
      </w:pPr>
      <w:r>
        <w:rPr>
          <w:rFonts w:ascii="宋体" w:cs="宋体"/>
          <w:b/>
          <w:bCs/>
          <w:snapToGrid w:val="0"/>
          <w:color w:val="auto"/>
          <w:kern w:val="0"/>
          <w:szCs w:val="21"/>
          <w:highlight w:val="auto"/>
        </w:rPr>
        <w:t>4.4</w:t>
      </w:r>
      <w:r>
        <w:rPr>
          <w:rFonts w:ascii="宋体" w:cs="宋体" w:hint="eastAsia"/>
          <w:b/>
          <w:bCs/>
          <w:snapToGrid w:val="0"/>
          <w:color w:val="auto"/>
          <w:kern w:val="0"/>
          <w:szCs w:val="21"/>
          <w:highlight w:val="auto"/>
        </w:rPr>
        <w:t>投标人应仔细阅读采购文件的所有内容，按照采购文件的要求提交投标文件，并对所提供的全部资料的真实性承担法律责任。</w:t>
      </w:r>
    </w:p>
    <w:p>
      <w:pPr>
        <w:adjustRightInd w:val="0"/>
        <w:snapToGrid w:val="0"/>
        <w:spacing w:line="360" w:lineRule="auto"/>
        <w:ind w:firstLineChars="200" w:firstLine="420"/>
        <w:rPr>
          <w:rFonts w:ascii="宋体"/>
          <w:snapToGrid w:val="0"/>
          <w:color w:val="auto"/>
          <w:kern w:val="0"/>
          <w:szCs w:val="21"/>
          <w:highlight w:val="auto"/>
        </w:rPr>
      </w:pPr>
      <w:r>
        <w:rPr>
          <w:rFonts w:ascii="宋体" w:cs="宋体"/>
          <w:b/>
          <w:bCs/>
          <w:snapToGrid w:val="0"/>
          <w:color w:val="auto"/>
          <w:kern w:val="0"/>
          <w:szCs w:val="21"/>
          <w:highlight w:val="auto"/>
        </w:rPr>
        <w:t>4.5</w:t>
      </w:r>
      <w:r>
        <w:rPr>
          <w:rFonts w:ascii="宋体" w:cs="宋体" w:hint="eastAsia"/>
          <w:b/>
          <w:bCs/>
          <w:snapToGrid w:val="0"/>
          <w:color w:val="auto"/>
          <w:kern w:val="0"/>
          <w:szCs w:val="21"/>
          <w:highlight w:val="auto"/>
        </w:rPr>
        <w:t>投标人在投标活动中提供任何虚假材料</w:t>
      </w:r>
      <w:r>
        <w:rPr>
          <w:rFonts w:ascii="宋体" w:cs="宋体"/>
          <w:b/>
          <w:bCs/>
          <w:snapToGrid w:val="0"/>
          <w:color w:val="auto"/>
          <w:kern w:val="0"/>
          <w:szCs w:val="21"/>
          <w:highlight w:val="auto"/>
        </w:rPr>
        <w:t>,</w:t>
      </w:r>
      <w:r>
        <w:rPr>
          <w:rFonts w:ascii="宋体" w:cs="宋体" w:hint="eastAsia"/>
          <w:b/>
          <w:bCs/>
          <w:snapToGrid w:val="0"/>
          <w:color w:val="auto"/>
          <w:kern w:val="0"/>
          <w:szCs w:val="21"/>
          <w:highlight w:val="auto"/>
        </w:rPr>
        <w:t>其投标无效，并报监管部门查处；中标后发现的</w:t>
      </w:r>
      <w:r>
        <w:rPr>
          <w:rFonts w:ascii="宋体" w:cs="宋体"/>
          <w:b/>
          <w:bCs/>
          <w:snapToGrid w:val="0"/>
          <w:color w:val="auto"/>
          <w:kern w:val="0"/>
          <w:szCs w:val="21"/>
          <w:highlight w:val="auto"/>
        </w:rPr>
        <w:t>,</w:t>
      </w:r>
      <w:r>
        <w:rPr>
          <w:rFonts w:ascii="宋体" w:cs="宋体" w:hint="eastAsia"/>
          <w:b/>
          <w:bCs/>
          <w:snapToGrid w:val="0"/>
          <w:color w:val="auto"/>
          <w:kern w:val="0"/>
          <w:szCs w:val="21"/>
          <w:highlight w:val="auto"/>
        </w:rPr>
        <w:t>按《政府采购货物和服务招标投标管理办法》（财政部令第</w:t>
      </w:r>
      <w:r>
        <w:rPr>
          <w:rFonts w:ascii="宋体" w:cs="宋体"/>
          <w:b/>
          <w:bCs/>
          <w:snapToGrid w:val="0"/>
          <w:color w:val="auto"/>
          <w:kern w:val="0"/>
          <w:szCs w:val="21"/>
          <w:highlight w:val="auto"/>
        </w:rPr>
        <w:t>87</w:t>
      </w:r>
      <w:r>
        <w:rPr>
          <w:rFonts w:ascii="宋体" w:cs="宋体" w:hint="eastAsia"/>
          <w:b/>
          <w:bCs/>
          <w:snapToGrid w:val="0"/>
          <w:color w:val="auto"/>
          <w:kern w:val="0"/>
          <w:szCs w:val="21"/>
          <w:highlight w:val="auto"/>
        </w:rPr>
        <w:t>号）相关规定承担相应的法律责任。</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27" w:name="_Toc240450078"/>
      <w:bookmarkStart w:id="28" w:name="_Toc294777232"/>
      <w:bookmarkStart w:id="29" w:name="_Toc28067"/>
      <w:bookmarkStart w:id="30" w:name="_Toc367274978"/>
      <w:bookmarkStart w:id="31" w:name="_Toc60757522"/>
      <w:bookmarkStart w:id="32" w:name="_Toc251566651"/>
      <w:r>
        <w:rPr>
          <w:rFonts w:ascii="宋体" w:eastAsia="宋体" w:hint="eastAsia"/>
          <w:snapToGrid w:val="0"/>
          <w:color w:val="auto"/>
          <w:sz w:val="21"/>
          <w:szCs w:val="21"/>
          <w:highlight w:val="auto"/>
        </w:rPr>
        <w:t>二、采购文件</w:t>
      </w:r>
      <w:bookmarkEnd w:id="27"/>
      <w:bookmarkEnd w:id="28"/>
      <w:bookmarkEnd w:id="29"/>
      <w:bookmarkEnd w:id="30"/>
      <w:bookmarkEnd w:id="31"/>
      <w:bookmarkEnd w:id="32"/>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5</w:t>
      </w:r>
      <w:r>
        <w:rPr>
          <w:rFonts w:ascii="宋体" w:hint="eastAsia"/>
          <w:b/>
          <w:snapToGrid w:val="0"/>
          <w:color w:val="auto"/>
          <w:kern w:val="0"/>
          <w:szCs w:val="21"/>
          <w:highlight w:val="auto"/>
        </w:rPr>
        <w:t>．采购文件构成</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5.1 </w:t>
      </w:r>
      <w:r>
        <w:rPr>
          <w:rFonts w:ascii="宋体" w:hint="eastAsia"/>
          <w:snapToGrid w:val="0"/>
          <w:color w:val="auto"/>
          <w:kern w:val="0"/>
          <w:szCs w:val="21"/>
          <w:highlight w:val="auto"/>
        </w:rPr>
        <w:t>本采购文件包括目录所示内容及所有按本须知第</w:t>
      </w:r>
      <w:r>
        <w:rPr>
          <w:rFonts w:ascii="宋体"/>
          <w:snapToGrid w:val="0"/>
          <w:color w:val="auto"/>
          <w:kern w:val="0"/>
          <w:szCs w:val="21"/>
          <w:highlight w:val="auto"/>
        </w:rPr>
        <w:t>6</w:t>
      </w:r>
      <w:r>
        <w:rPr>
          <w:rFonts w:ascii="宋体" w:hint="eastAsia"/>
          <w:snapToGrid w:val="0"/>
          <w:color w:val="auto"/>
          <w:kern w:val="0"/>
          <w:szCs w:val="21"/>
          <w:highlight w:val="auto"/>
        </w:rPr>
        <w:t>、</w:t>
      </w:r>
      <w:r>
        <w:rPr>
          <w:rFonts w:ascii="宋体"/>
          <w:snapToGrid w:val="0"/>
          <w:color w:val="auto"/>
          <w:kern w:val="0"/>
          <w:szCs w:val="21"/>
          <w:highlight w:val="auto"/>
        </w:rPr>
        <w:t>7</w:t>
      </w:r>
      <w:r>
        <w:rPr>
          <w:rFonts w:ascii="宋体" w:hint="eastAsia"/>
          <w:snapToGrid w:val="0"/>
          <w:color w:val="auto"/>
          <w:kern w:val="0"/>
          <w:szCs w:val="21"/>
          <w:highlight w:val="auto"/>
        </w:rPr>
        <w:t>条发出的补充资料。</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5.2 </w:t>
      </w:r>
      <w:r>
        <w:rPr>
          <w:rFonts w:ascii="宋体" w:hint="eastAsia"/>
          <w:snapToGrid w:val="0"/>
          <w:color w:val="auto"/>
          <w:kern w:val="0"/>
          <w:szCs w:val="21"/>
          <w:highlight w:val="auto"/>
        </w:rPr>
        <w:t>除上述所列内容外，采购人和采购代理机构的任何工作人员对供应商所作的任何口头解释、介绍、答复，只能供供应商参考，对采购人、采购代理机构和供应商无任何约束力。</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5.3 </w:t>
      </w:r>
      <w:r>
        <w:rPr>
          <w:rFonts w:ascii="宋体" w:hint="eastAsia"/>
          <w:snapToGrid w:val="0"/>
          <w:color w:val="auto"/>
          <w:kern w:val="0"/>
          <w:szCs w:val="21"/>
          <w:highlight w:val="auto"/>
        </w:rPr>
        <w:t>采购文件是招标过程进行的有效依据，也是中标后签订合同的依据，对双方均具有约束力，凡不遵守采购文件规定或对采购文件的实质性内容不响应的，将可能被拒绝或以无效标处理。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5.4 </w:t>
      </w:r>
      <w:r>
        <w:rPr>
          <w:rFonts w:ascii="宋体" w:hint="eastAsia"/>
          <w:snapToGrid w:val="0"/>
          <w:color w:val="auto"/>
          <w:kern w:val="0"/>
          <w:szCs w:val="21"/>
          <w:highlight w:val="auto"/>
        </w:rPr>
        <w:t>本采购文件由采购人或采购代理机构依据相关法律、法规、规章、省市规定及采购文件进行解释。</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6</w:t>
      </w:r>
      <w:r>
        <w:rPr>
          <w:rFonts w:ascii="宋体" w:hint="eastAsia"/>
          <w:b/>
          <w:snapToGrid w:val="0"/>
          <w:color w:val="auto"/>
          <w:kern w:val="0"/>
          <w:szCs w:val="21"/>
          <w:highlight w:val="auto"/>
        </w:rPr>
        <w:t>．采购文件的澄清</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6.1 </w:t>
      </w:r>
      <w:r>
        <w:rPr>
          <w:rFonts w:ascii="宋体" w:hint="eastAsia"/>
          <w:snapToGrid w:val="0"/>
          <w:color w:val="auto"/>
          <w:kern w:val="0"/>
          <w:szCs w:val="21"/>
          <w:highlight w:val="auto"/>
        </w:rPr>
        <w:t>供应商在收到采购文件后，若有问题需要澄清或认为有必要与采购人进行技术交流，应于前附表规定的时间前，将问题发电子邮件至376790573@qq.com（电子邮件与书面文件有不一致的，以书面文件为准）。截止期后的疑问将不予受理、答复。</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6.2 </w:t>
      </w:r>
      <w:r>
        <w:rPr>
          <w:rFonts w:ascii="宋体" w:hint="eastAsia"/>
          <w:snapToGrid w:val="0"/>
          <w:color w:val="auto"/>
          <w:kern w:val="0"/>
          <w:szCs w:val="21"/>
          <w:highlight w:val="auto"/>
        </w:rPr>
        <w:t>供应商要求解释或澄清的问题应以书面形式送达，并加盖公章、写明日期。</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6.3 </w:t>
      </w:r>
      <w:r>
        <w:rPr>
          <w:rFonts w:ascii="宋体" w:hint="eastAsia"/>
          <w:snapToGrid w:val="0"/>
          <w:color w:val="auto"/>
          <w:kern w:val="0"/>
          <w:szCs w:val="21"/>
          <w:highlight w:val="auto"/>
        </w:rPr>
        <w:t>所有要求解释或澄清的问题都予以解答，答疑文件与补充文件一起以书面形式告知所有购买采购文件的供应商。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7</w:t>
      </w:r>
      <w:r>
        <w:rPr>
          <w:rFonts w:ascii="宋体" w:hint="eastAsia"/>
          <w:b/>
          <w:snapToGrid w:val="0"/>
          <w:color w:val="auto"/>
          <w:kern w:val="0"/>
          <w:szCs w:val="21"/>
          <w:highlight w:val="auto"/>
        </w:rPr>
        <w:t>．采购文件的修改</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7.1 </w:t>
      </w:r>
      <w:r>
        <w:rPr>
          <w:rFonts w:ascii="宋体" w:hint="eastAsia"/>
          <w:snapToGrid w:val="0"/>
          <w:color w:val="auto"/>
          <w:kern w:val="0"/>
          <w:szCs w:val="21"/>
          <w:highlight w:val="auto"/>
        </w:rPr>
        <w:t>在投标截止期前</w:t>
      </w:r>
      <w:r>
        <w:rPr>
          <w:rFonts w:ascii="宋体"/>
          <w:snapToGrid w:val="0"/>
          <w:color w:val="auto"/>
          <w:kern w:val="0"/>
          <w:szCs w:val="21"/>
          <w:highlight w:val="auto"/>
        </w:rPr>
        <w:t>15</w:t>
      </w:r>
      <w:r>
        <w:rPr>
          <w:rFonts w:ascii="宋体" w:hint="eastAsia"/>
          <w:snapToGrid w:val="0"/>
          <w:color w:val="auto"/>
          <w:kern w:val="0"/>
          <w:szCs w:val="21"/>
          <w:lang w:val="en-US" w:eastAsia="zh-CN"/>
          <w:highlight w:val="auto"/>
        </w:rPr>
        <w:t>日历</w:t>
      </w:r>
      <w:r>
        <w:rPr>
          <w:rFonts w:ascii="宋体" w:hint="eastAsia"/>
          <w:snapToGrid w:val="0"/>
          <w:color w:val="auto"/>
          <w:kern w:val="0"/>
          <w:szCs w:val="21"/>
          <w:highlight w:val="auto"/>
        </w:rPr>
        <w:t>天，由于各种原因，不论是自己主动提出还是答复供应商的澄清要求，采购人可能会以补充文件的形式修改或完善采购文件。</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7.2 </w:t>
      </w:r>
      <w:r>
        <w:rPr>
          <w:rFonts w:ascii="宋体" w:hint="eastAsia"/>
          <w:snapToGrid w:val="0"/>
          <w:color w:val="auto"/>
          <w:kern w:val="0"/>
          <w:szCs w:val="21"/>
          <w:highlight w:val="auto"/>
        </w:rPr>
        <w:t>采购文件的修改将以书面形式，通知所有</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采购文件的供应商，并对其具有约束力。供应商在收到上述通知后，应在</w:t>
      </w:r>
      <w:r>
        <w:rPr>
          <w:rFonts w:ascii="宋体"/>
          <w:snapToGrid w:val="0"/>
          <w:color w:val="auto"/>
          <w:kern w:val="0"/>
          <w:szCs w:val="21"/>
          <w:highlight w:val="auto"/>
        </w:rPr>
        <w:t>24</w:t>
      </w:r>
      <w:r>
        <w:rPr>
          <w:rFonts w:ascii="宋体" w:hint="eastAsia"/>
          <w:snapToGrid w:val="0"/>
          <w:color w:val="auto"/>
          <w:kern w:val="0"/>
          <w:szCs w:val="21"/>
          <w:highlight w:val="auto"/>
        </w:rPr>
        <w:t>小时内向采购代理机构回函确认。</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7.3 </w:t>
      </w:r>
      <w:r>
        <w:rPr>
          <w:rFonts w:ascii="宋体" w:hint="eastAsia"/>
          <w:snapToGrid w:val="0"/>
          <w:color w:val="auto"/>
          <w:kern w:val="0"/>
          <w:szCs w:val="21"/>
          <w:highlight w:val="auto"/>
        </w:rPr>
        <w:t>在补充文件发布后，如果供应商认为制作投标文件的时间不充分的，必须在收到补充文件</w:t>
      </w:r>
      <w:r>
        <w:rPr>
          <w:rFonts w:ascii="宋体"/>
          <w:snapToGrid w:val="0"/>
          <w:color w:val="auto"/>
          <w:kern w:val="0"/>
          <w:szCs w:val="21"/>
          <w:highlight w:val="auto"/>
        </w:rPr>
        <w:t>24</w:t>
      </w:r>
      <w:r>
        <w:rPr>
          <w:rFonts w:ascii="宋体" w:hint="eastAsia"/>
          <w:snapToGrid w:val="0"/>
          <w:color w:val="auto"/>
          <w:kern w:val="0"/>
          <w:szCs w:val="21"/>
          <w:highlight w:val="auto"/>
        </w:rPr>
        <w:t>小时内通知采购人和采购代理机构。否则，视同供应商有充足时间编制投标文件。</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7.4 </w:t>
      </w:r>
      <w:r>
        <w:rPr>
          <w:rFonts w:ascii="宋体" w:hint="eastAsia"/>
          <w:snapToGrid w:val="0"/>
          <w:color w:val="auto"/>
          <w:kern w:val="0"/>
          <w:szCs w:val="21"/>
          <w:highlight w:val="auto"/>
        </w:rPr>
        <w:t>为使供应商编写投标文件时有充分的时间对采购文件的修改部分进行研究，采购人有权推迟投标截至时间和开标日期，并将此变更书面通知所有购买同一采购文件的供应商。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7.5 </w:t>
      </w:r>
      <w:r>
        <w:rPr>
          <w:rFonts w:ascii="宋体" w:hint="eastAsia"/>
          <w:snapToGrid w:val="0"/>
          <w:color w:val="auto"/>
          <w:kern w:val="0"/>
          <w:szCs w:val="21"/>
          <w:highlight w:val="auto"/>
        </w:rPr>
        <w:t>采购文件澄清、答复、修改、补充的内容为采购文件的组成部分。当采购文件与采购文件的答复、澄清、修改、补充通知就同一内容的表述不一致时，以最后发出的书面文件为准。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7.6 </w:t>
      </w:r>
      <w:r>
        <w:rPr>
          <w:rFonts w:ascii="宋体" w:hint="eastAsia"/>
          <w:snapToGrid w:val="0"/>
          <w:color w:val="auto"/>
          <w:kern w:val="0"/>
          <w:szCs w:val="21"/>
          <w:highlight w:val="auto"/>
        </w:rPr>
        <w:t>采购文件的澄清、答复、修改或补充都应该通过本代理机构以法定形式发布，除此以外的发布不属于采购文件的组成部分。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7.7 </w:t>
      </w:r>
      <w:r>
        <w:rPr>
          <w:rFonts w:ascii="宋体" w:hint="eastAsia"/>
          <w:snapToGrid w:val="0"/>
          <w:color w:val="auto"/>
          <w:kern w:val="0"/>
          <w:szCs w:val="21"/>
          <w:highlight w:val="auto"/>
        </w:rPr>
        <w:t>在采购文件</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截止后，经采购人同意</w:t>
      </w:r>
      <w:r>
        <w:rPr>
          <w:rFonts w:ascii="宋体" w:hint="eastAsia"/>
          <w:snapToGrid w:val="0"/>
          <w:color w:val="auto"/>
          <w:kern w:val="0"/>
          <w:szCs w:val="21"/>
          <w:lang w:val="en-US" w:eastAsia="zh-CN"/>
          <w:highlight w:val="auto"/>
        </w:rPr>
        <w:t>获取</w:t>
      </w:r>
      <w:r>
        <w:rPr>
          <w:rFonts w:ascii="宋体" w:hint="eastAsia"/>
          <w:snapToGrid w:val="0"/>
          <w:color w:val="auto"/>
          <w:kern w:val="0"/>
          <w:szCs w:val="21"/>
          <w:highlight w:val="auto"/>
        </w:rPr>
        <w:t>采购文件的供应商不得对采购文件及其补充文件提出答疑或质疑。</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33" w:name="_Toc60757523"/>
      <w:bookmarkStart w:id="34" w:name="_Toc1721"/>
      <w:bookmarkStart w:id="35" w:name="_Toc367274979"/>
      <w:r>
        <w:rPr>
          <w:rFonts w:ascii="宋体" w:eastAsia="宋体" w:hint="eastAsia"/>
          <w:snapToGrid w:val="0"/>
          <w:color w:val="auto"/>
          <w:sz w:val="21"/>
          <w:szCs w:val="21"/>
          <w:highlight w:val="auto"/>
        </w:rPr>
        <w:t>三、投标文件的编制</w:t>
      </w:r>
      <w:bookmarkEnd w:id="25"/>
      <w:bookmarkEnd w:id="26"/>
      <w:bookmarkEnd w:id="33"/>
      <w:bookmarkEnd w:id="34"/>
      <w:bookmarkEnd w:id="35"/>
    </w:p>
    <w:p>
      <w:pPr>
        <w:adjustRightInd w:val="0"/>
        <w:snapToGrid w:val="0"/>
        <w:spacing w:line="360" w:lineRule="auto"/>
        <w:ind w:firstLineChars="200" w:firstLine="420"/>
        <w:rPr>
          <w:rFonts w:ascii="宋体"/>
          <w:b/>
          <w:snapToGrid w:val="0"/>
          <w:color w:val="auto"/>
          <w:kern w:val="0"/>
          <w:szCs w:val="21"/>
          <w:highlight w:val="auto"/>
        </w:rPr>
      </w:pPr>
      <w:r>
        <w:rPr>
          <w:rFonts w:ascii="宋体" w:hint="eastAsia"/>
          <w:b/>
          <w:snapToGrid w:val="0"/>
          <w:color w:val="auto"/>
          <w:kern w:val="0"/>
          <w:szCs w:val="21"/>
          <w:highlight w:val="auto"/>
        </w:rPr>
        <w:t>供应商应认真阅读采购文件中所有的事项、格式、条款和技术要求等。如果供应商没有按照采购文件要求和规定编制投标文件及提交全部资料，或者投标没有对采购文件中各方面作出实质性响应，其风险应由供应商承担。</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8</w:t>
      </w:r>
      <w:r>
        <w:rPr>
          <w:rFonts w:ascii="宋体" w:hint="eastAsia"/>
          <w:b/>
          <w:snapToGrid w:val="0"/>
          <w:color w:val="auto"/>
          <w:kern w:val="0"/>
          <w:szCs w:val="21"/>
          <w:highlight w:val="auto"/>
        </w:rPr>
        <w:t>．投标文件的语言及计量单位</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8.1 </w:t>
      </w:r>
      <w:r>
        <w:rPr>
          <w:rFonts w:ascii="宋体" w:hint="eastAsia"/>
          <w:snapToGrid w:val="0"/>
          <w:color w:val="auto"/>
          <w:kern w:val="0"/>
          <w:szCs w:val="21"/>
          <w:highlight w:val="auto"/>
        </w:rPr>
        <w:t>投标文件及供应商与采购人之间与投标有关的来往通知、函件和文件均应使用简体中文。除签名、盖章、专用名称等特殊情形外，以中文汉语以外的文字表述的投标文件视同未提供。供应商提交的支持文件和印刷的文献可以用另一种语言，但相应内容应附有中文翻译文本，在解释投标文件时以中文翻译文本为准。</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 xml:space="preserve">8.2 </w:t>
      </w:r>
      <w:r>
        <w:rPr>
          <w:rFonts w:ascii="宋体" w:hint="eastAsia"/>
          <w:snapToGrid w:val="0"/>
          <w:color w:val="auto"/>
          <w:kern w:val="0"/>
          <w:szCs w:val="21"/>
          <w:highlight w:val="auto"/>
        </w:rPr>
        <w:t>除采购文件另有规定外，投标文件所使用的计量单位，均须采用中华人民共和国法定计量单位，否则视同未响应。</w:t>
      </w:r>
    </w:p>
    <w:p>
      <w:pPr>
        <w:adjustRightInd w:val="0"/>
        <w:snapToGrid w:val="0"/>
        <w:spacing w:line="360" w:lineRule="auto"/>
        <w:ind w:firstLineChars="200" w:firstLine="420"/>
        <w:rPr>
          <w:rFonts w:ascii="宋体" w:eastAsia="宋体" w:hint="eastAsia"/>
          <w:b/>
          <w:snapToGrid w:val="0"/>
          <w:color w:val="auto"/>
          <w:kern w:val="0"/>
          <w:szCs w:val="21"/>
          <w:u w:val="single"/>
          <w:lang w:eastAsia="zh-CN"/>
          <w:highlight w:val="auto"/>
        </w:rPr>
      </w:pPr>
      <w:r>
        <w:rPr>
          <w:rFonts w:ascii="宋体"/>
          <w:b/>
          <w:snapToGrid w:val="0"/>
          <w:color w:val="auto"/>
          <w:kern w:val="0"/>
          <w:szCs w:val="21"/>
          <w:highlight w:val="auto"/>
        </w:rPr>
        <w:t>9</w:t>
      </w:r>
      <w:r>
        <w:rPr>
          <w:rFonts w:ascii="宋体" w:hint="eastAsia"/>
          <w:b/>
          <w:snapToGrid w:val="0"/>
          <w:color w:val="auto"/>
          <w:kern w:val="0"/>
          <w:szCs w:val="21"/>
          <w:highlight w:val="auto"/>
        </w:rPr>
        <w:t>．投标文件构成</w:t>
      </w:r>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供应商向采购人递交的投标文件由资格文件、商务技术文件、报价文件三部分组成，其中</w:t>
      </w:r>
      <w:r>
        <w:rPr>
          <w:rFonts w:ascii="宋体" w:hint="eastAsia"/>
          <w:b/>
          <w:snapToGrid w:val="0"/>
          <w:color w:val="auto"/>
          <w:kern w:val="0"/>
          <w:szCs w:val="21"/>
          <w:highlight w:val="auto"/>
        </w:rPr>
        <w:t>报价文件需要单独装订成一册。（投标人不按照此要求装订文件的将被做无效标处理）</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9.1</w:t>
      </w:r>
      <w:r>
        <w:rPr>
          <w:rFonts w:ascii="宋体" w:cs="宋体" w:hint="eastAsia"/>
          <w:b/>
          <w:bCs/>
          <w:color w:val="auto"/>
          <w:szCs w:val="21"/>
          <w:highlight w:val="auto"/>
        </w:rPr>
        <w:t>资格文件</w:t>
      </w:r>
    </w:p>
    <w:p>
      <w:pPr>
        <w:tabs>
          <w:tab w:val="left" w:pos="720"/>
        </w:tabs>
        <w:adjustRightInd w:val="0"/>
        <w:snapToGrid w:val="0"/>
        <w:spacing w:line="360" w:lineRule="auto"/>
        <w:ind w:left="420"/>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如下为资格证明材料所需内容：</w:t>
      </w:r>
    </w:p>
    <w:p>
      <w:pPr>
        <w:snapToGrid w:val="0"/>
        <w:spacing w:line="360" w:lineRule="auto"/>
        <w:ind w:rightChars="20" w:right="42" w:firstLineChars="200" w:firstLine="420"/>
        <w:jc w:val="left"/>
        <w:rPr>
          <w:b/>
          <w:bCs/>
          <w:color w:val="auto"/>
          <w:sz w:val="21"/>
          <w:szCs w:val="21"/>
          <w:highlight w:val="auto"/>
        </w:rPr>
      </w:pPr>
      <w:r>
        <w:rPr>
          <w:rFonts w:ascii="宋体" w:eastAsia="宋体" w:hint="eastAsia"/>
          <w:color w:val="auto"/>
          <w:szCs w:val="21"/>
          <w:lang w:eastAsia="zh-CN"/>
          <w:highlight w:val="auto"/>
        </w:rPr>
        <w:t>（</w:t>
      </w:r>
      <w:r>
        <w:rPr>
          <w:rFonts w:ascii="宋体" w:eastAsia="宋体" w:hint="eastAsia"/>
          <w:color w:val="auto"/>
          <w:szCs w:val="21"/>
          <w:lang w:val="en-US" w:eastAsia="zh-CN"/>
          <w:highlight w:val="auto"/>
        </w:rPr>
        <w:t>1</w:t>
      </w:r>
      <w:r>
        <w:rPr>
          <w:rFonts w:ascii="宋体" w:eastAsia="宋体" w:hint="eastAsia"/>
          <w:color w:val="auto"/>
          <w:szCs w:val="21"/>
          <w:lang w:eastAsia="zh-CN"/>
          <w:highlight w:val="auto"/>
        </w:rPr>
        <w:t>）</w:t>
      </w:r>
      <w:r>
        <w:rPr>
          <w:rFonts w:ascii="宋体" w:eastAsia="宋体" w:hint="eastAsia"/>
          <w:color w:val="auto"/>
          <w:szCs w:val="21"/>
          <w:highlight w:val="auto"/>
        </w:rPr>
        <w:t>提供具有独立承担民事责任的能力、具有良好的商业信誉和健全的财务会计制度、具有履行合同所必需的设备和专业技术能力、有依法缴纳税收和社会保障资金的良好记录、参加政府采购活动前三年，在经营活动中没有重大违法记录（详见格式）的承诺书</w:t>
      </w:r>
      <w:r>
        <w:rPr>
          <w:rFonts w:hint="eastAsia"/>
          <w:b/>
          <w:bCs/>
          <w:color w:val="auto"/>
          <w:sz w:val="21"/>
          <w:szCs w:val="21"/>
          <w:highlight w:val="auto"/>
        </w:rPr>
        <w:t>。</w:t>
      </w:r>
    </w:p>
    <w:p>
      <w:pPr>
        <w:widowControl/>
        <w:spacing w:line="360" w:lineRule="auto"/>
        <w:ind w:firstLineChars="200" w:firstLine="42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w:t>
      </w:r>
      <w:r>
        <w:rPr>
          <w:rFonts w:ascii="宋体" w:cs="宋体"/>
          <w:b/>
          <w:snapToGrid w:val="0"/>
          <w:color w:val="auto"/>
          <w:kern w:val="0"/>
          <w:szCs w:val="21"/>
          <w:highlight w:val="auto"/>
        </w:rPr>
        <w:t>2</w:t>
      </w:r>
      <w:r>
        <w:rPr>
          <w:rFonts w:ascii="宋体" w:cs="宋体" w:hint="eastAsia"/>
          <w:b/>
          <w:snapToGrid w:val="0"/>
          <w:color w:val="auto"/>
          <w:kern w:val="0"/>
          <w:szCs w:val="21"/>
          <w:highlight w:val="auto"/>
        </w:rPr>
        <w:t>）</w:t>
      </w:r>
      <w:r>
        <w:rPr>
          <w:rFonts w:ascii="宋体" w:cs="宋体" w:hint="eastAsia"/>
          <w:b/>
          <w:bCs/>
          <w:color w:val="auto"/>
          <w:kern w:val="0"/>
          <w:szCs w:val="21"/>
          <w:highlight w:val="auto"/>
        </w:rPr>
        <w:t>落实政府采购政策需满足的资格要求：</w:t>
      </w:r>
      <w:r>
        <w:rPr>
          <w:rFonts w:ascii="宋体" w:cs="宋体" w:hint="eastAsia"/>
          <w:b/>
          <w:bCs/>
          <w:color w:val="auto"/>
          <w:kern w:val="0"/>
          <w:szCs w:val="21"/>
          <w:lang w:val="en-US" w:eastAsia="zh-CN"/>
          <w:highlight w:val="auto"/>
        </w:rPr>
        <w:t>专门面向中小企业</w:t>
      </w:r>
      <w:r>
        <w:rPr>
          <w:rFonts w:ascii="宋体" w:cs="宋体" w:hint="eastAsia"/>
          <w:b/>
          <w:bCs/>
          <w:color w:val="auto"/>
          <w:kern w:val="0"/>
          <w:szCs w:val="21"/>
          <w:highlight w:val="auto"/>
        </w:rPr>
        <w:t>；</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snapToGrid w:val="0"/>
          <w:color w:val="auto"/>
          <w:kern w:val="0"/>
          <w:szCs w:val="21"/>
          <w:highlight w:val="auto"/>
        </w:rPr>
        <w:t>（3）特定资格条件：</w:t>
      </w:r>
      <w:r>
        <w:rPr>
          <w:rFonts w:ascii="宋体" w:cs="宋体" w:hint="eastAsia"/>
          <w:b/>
          <w:bCs/>
          <w:color w:val="auto"/>
          <w:kern w:val="0"/>
          <w:szCs w:val="21"/>
          <w:highlight w:val="auto"/>
        </w:rPr>
        <w:t>未被“信用中国”（www.creditchina.gov.cn)、中国政府采购网（www.ccgp.gov.cn）列入失信被执行人、重大税收违法失信主体、政府采购严重违法失信行为记录名单（提供网站截图）。（代理机构以开标当日在“信用中国”网站（www.creditchina.gov.cn）、中国政府采购网（www.ccgp.gov.cn）网页查询记录为准）</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对列入失信被执行人、重大税收违法失信主体、政府采购严重违法失信行为记录名单的供应商，其投标将作无效标处理。</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3</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 xml:space="preserve">中小企业声明函； </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中小企业应当按照《政府采购促进中小企业发展管理办法》规定和《中小企业划型标准规定》（工信部联企业〔2011〕300号），如实填写并提交《中小企业声明函》。未按要求出具声明函的，</w:t>
      </w:r>
      <w:r>
        <w:rPr>
          <w:rFonts w:ascii="宋体" w:cs="宋体" w:hint="eastAsia"/>
          <w:b/>
          <w:bCs/>
          <w:color w:val="auto"/>
          <w:kern w:val="0"/>
          <w:szCs w:val="21"/>
          <w:lang w:val="en-US" w:eastAsia="zh-CN"/>
          <w:highlight w:val="auto"/>
        </w:rPr>
        <w:t>声明函无效</w:t>
      </w:r>
      <w:r>
        <w:rPr>
          <w:rFonts w:ascii="宋体" w:cs="宋体" w:hint="eastAsia"/>
          <w:b/>
          <w:bCs/>
          <w:color w:val="auto"/>
          <w:kern w:val="0"/>
          <w:szCs w:val="21"/>
          <w:highlight w:val="auto"/>
        </w:rPr>
        <w:t>。</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投标人在填写声明函前，须先自查是否满足小微企业认定标准。</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highlight w:val="auto"/>
        </w:rPr>
        <w:t>中小企业对其声明内容的真实性负责，声明函内容不实的，属于提供虚假材料谋取中标、成交，依照《中华人民共和国政府采购法》等国家有关规定追究相应责任。</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4</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投标人为监狱企业的证明文件：省级以上监狱管理局、戒毒管理局（含新疆生产建设兵团）出具</w:t>
      </w:r>
    </w:p>
    <w:p>
      <w:pPr>
        <w:tabs>
          <w:tab w:val="left" w:pos="720"/>
        </w:tabs>
        <w:adjustRightInd w:val="0"/>
        <w:snapToGrid w:val="0"/>
        <w:spacing w:line="360" w:lineRule="auto"/>
        <w:ind w:firstLineChars="200" w:firstLine="420"/>
        <w:jc w:val="left"/>
        <w:rPr>
          <w:rFonts w:ascii="宋体" w:cs="宋体" w:hint="eastAsia"/>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5</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投标人如符合《财政部、民政部、中国残疾人联合会关于促进残疾人就业政府采购政策的通知》（财库〔2017〕141号）政策规定的，须提供《残疾人福利性单位声明函》；</w:t>
      </w:r>
    </w:p>
    <w:p>
      <w:pPr>
        <w:tabs>
          <w:tab w:val="left" w:pos="720"/>
        </w:tabs>
        <w:adjustRightInd w:val="0"/>
        <w:snapToGrid w:val="0"/>
        <w:spacing w:line="360" w:lineRule="auto"/>
        <w:ind w:firstLineChars="200" w:firstLine="420"/>
        <w:jc w:val="left"/>
        <w:rPr>
          <w:rFonts w:ascii="宋体" w:cs="宋体"/>
          <w:b/>
          <w:bCs/>
          <w:color w:val="auto"/>
          <w:kern w:val="0"/>
          <w:szCs w:val="21"/>
          <w:highlight w:val="auto"/>
        </w:rPr>
      </w:pPr>
      <w:r>
        <w:rPr>
          <w:rFonts w:ascii="宋体" w:cs="宋体" w:hint="eastAsia"/>
          <w:b/>
          <w:bCs/>
          <w:color w:val="auto"/>
          <w:kern w:val="0"/>
          <w:szCs w:val="21"/>
          <w:lang w:eastAsia="zh-CN"/>
          <w:highlight w:val="auto"/>
        </w:rPr>
        <w:t>（</w:t>
      </w:r>
      <w:r>
        <w:rPr>
          <w:rFonts w:ascii="宋体" w:cs="宋体" w:hint="eastAsia"/>
          <w:b/>
          <w:bCs/>
          <w:color w:val="auto"/>
          <w:kern w:val="0"/>
          <w:szCs w:val="21"/>
          <w:lang w:val="en-US" w:eastAsia="zh-CN"/>
          <w:highlight w:val="auto"/>
        </w:rPr>
        <w:t>6</w:t>
      </w:r>
      <w:r>
        <w:rPr>
          <w:rFonts w:ascii="宋体" w:cs="宋体" w:hint="eastAsia"/>
          <w:b/>
          <w:bCs/>
          <w:color w:val="auto"/>
          <w:kern w:val="0"/>
          <w:szCs w:val="21"/>
          <w:lang w:eastAsia="zh-CN"/>
          <w:highlight w:val="auto"/>
        </w:rPr>
        <w:t>）</w:t>
      </w:r>
      <w:r>
        <w:rPr>
          <w:rFonts w:ascii="宋体" w:cs="宋体" w:hint="eastAsia"/>
          <w:b/>
          <w:bCs/>
          <w:color w:val="auto"/>
          <w:kern w:val="0"/>
          <w:szCs w:val="21"/>
          <w:highlight w:val="auto"/>
        </w:rPr>
        <w:t>本项目不接受进口产品投标（进口产品是指通过中国海关报关，验放进入中国境内，且产自关境外的产品），</w:t>
      </w:r>
      <w:r>
        <w:rPr>
          <w:rFonts w:ascii="宋体" w:cs="宋体" w:hint="eastAsia"/>
          <w:b/>
          <w:bCs/>
          <w:color w:val="auto"/>
          <w:kern w:val="0"/>
          <w:szCs w:val="21"/>
          <w:u w:val="single"/>
          <w:highlight w:val="auto"/>
        </w:rPr>
        <w:t>请提供承诺所投产品均为国产设备的承诺函（格式自拟）</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 xml:space="preserve">9.2 </w:t>
      </w:r>
      <w:r>
        <w:rPr>
          <w:rFonts w:ascii="宋体" w:cs="宋体" w:hint="eastAsia"/>
          <w:b/>
          <w:bCs/>
          <w:color w:val="auto"/>
          <w:szCs w:val="21"/>
          <w:highlight w:val="auto"/>
        </w:rPr>
        <w:t>商务技术文件</w:t>
      </w:r>
    </w:p>
    <w:p>
      <w:pPr>
        <w:autoSpaceDE w:val="0"/>
        <w:autoSpaceDN w:val="0"/>
        <w:adjustRightInd w:val="0"/>
        <w:snapToGrid w:val="0"/>
        <w:spacing w:line="360" w:lineRule="auto"/>
        <w:ind w:firstLineChars="200" w:firstLine="420"/>
        <w:textAlignment w:val="bottom"/>
        <w:rPr>
          <w:rFonts w:ascii="宋体" w:cs="宋体"/>
          <w:b/>
          <w:bCs/>
          <w:color w:val="auto"/>
          <w:szCs w:val="21"/>
          <w:highlight w:val="auto"/>
        </w:rPr>
      </w:pPr>
      <w:r>
        <w:rPr>
          <w:rFonts w:ascii="宋体" w:cs="宋体"/>
          <w:b/>
          <w:bCs/>
          <w:color w:val="auto"/>
          <w:szCs w:val="21"/>
          <w:highlight w:val="auto"/>
        </w:rPr>
        <w:t>9.2.1</w:t>
      </w:r>
      <w:r>
        <w:rPr>
          <w:rFonts w:ascii="宋体" w:cs="宋体" w:hint="eastAsia"/>
          <w:b/>
          <w:bCs/>
          <w:color w:val="auto"/>
          <w:szCs w:val="21"/>
          <w:highlight w:val="auto"/>
        </w:rPr>
        <w:t>商务文件</w:t>
      </w:r>
    </w:p>
    <w:p>
      <w:pPr>
        <w:tabs>
          <w:tab w:val="left" w:pos="851"/>
          <w:tab w:val="left" w:pos="900"/>
          <w:tab w:val="left" w:pos="1080"/>
        </w:tabs>
        <w:adjustRightInd w:val="0"/>
        <w:snapToGrid w:val="0"/>
        <w:spacing w:line="360" w:lineRule="auto"/>
        <w:ind w:firstLineChars="200" w:firstLine="420"/>
        <w:jc w:val="left"/>
        <w:rPr>
          <w:rFonts w:ascii="宋体" w:cs="宋体"/>
          <w:bCs/>
          <w:color w:val="auto"/>
          <w:szCs w:val="21"/>
          <w:highlight w:val="auto"/>
        </w:rPr>
      </w:pPr>
      <w:r>
        <w:rPr>
          <w:rFonts w:ascii="宋体" w:cs="宋体" w:hint="eastAsia"/>
          <w:bCs/>
          <w:color w:val="auto"/>
          <w:szCs w:val="21"/>
          <w:highlight w:val="auto"/>
        </w:rPr>
        <w:t>包括但不限于以下内容：</w:t>
      </w:r>
    </w:p>
    <w:p>
      <w:pPr>
        <w:tabs>
          <w:tab w:val="left" w:pos="851"/>
          <w:tab w:val="left" w:pos="900"/>
          <w:tab w:val="left" w:pos="1080"/>
        </w:tabs>
        <w:adjustRightInd w:val="0"/>
        <w:snapToGrid w:val="0"/>
        <w:spacing w:line="360" w:lineRule="auto"/>
        <w:ind w:left="340"/>
        <w:jc w:val="left"/>
        <w:rPr>
          <w:rFonts w:ascii="宋体" w:cs="宋体"/>
          <w:bCs/>
          <w:color w:val="auto"/>
          <w:szCs w:val="21"/>
          <w:highlight w:val="auto"/>
        </w:rPr>
      </w:pPr>
      <w:r>
        <w:rPr>
          <w:rFonts w:ascii="宋体" w:cs="宋体" w:hint="eastAsia"/>
          <w:bCs/>
          <w:color w:val="auto"/>
          <w:szCs w:val="21"/>
          <w:lang w:eastAsia="zh-CN"/>
          <w:highlight w:val="auto"/>
        </w:rPr>
        <w:t>（</w:t>
      </w:r>
      <w:r>
        <w:rPr>
          <w:rFonts w:ascii="宋体" w:cs="宋体" w:hint="eastAsia"/>
          <w:bCs/>
          <w:color w:val="auto"/>
          <w:szCs w:val="21"/>
          <w:lang w:val="en-US" w:eastAsia="zh-CN"/>
          <w:highlight w:val="auto"/>
        </w:rPr>
        <w:t>1</w:t>
      </w:r>
      <w:r>
        <w:rPr>
          <w:rFonts w:ascii="宋体" w:cs="宋体" w:hint="eastAsia"/>
          <w:bCs/>
          <w:color w:val="auto"/>
          <w:szCs w:val="21"/>
          <w:lang w:eastAsia="zh-CN"/>
          <w:highlight w:val="auto"/>
        </w:rPr>
        <w:t>）</w:t>
      </w:r>
      <w:r>
        <w:rPr>
          <w:rFonts w:ascii="宋体" w:cs="宋体" w:hint="eastAsia"/>
          <w:bCs/>
          <w:color w:val="auto"/>
          <w:szCs w:val="21"/>
          <w:highlight w:val="auto"/>
        </w:rPr>
        <w:t>评分索引表；</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2</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法定代表人资格证明书及法定代表人授权书，同时须附法定代表人和授权委托代表的有效身份证复印件（法定代表人直接参加投标并对相应文件签字的，只需提供前者）</w:t>
      </w:r>
    </w:p>
    <w:p>
      <w:pPr>
        <w:tabs>
          <w:tab w:val="left" w:pos="851"/>
          <w:tab w:val="left" w:pos="900"/>
          <w:tab w:val="left" w:pos="1080"/>
        </w:tabs>
        <w:adjustRightInd w:val="0"/>
        <w:snapToGrid w:val="0"/>
        <w:spacing w:line="360" w:lineRule="auto"/>
        <w:ind w:left="340"/>
        <w:jc w:val="left"/>
        <w:rPr>
          <w:rFonts w:ascii="宋体" w:cs="宋体"/>
          <w:bCs/>
          <w:color w:val="auto"/>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3</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廉政承诺书；</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4</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投标人曾承担过的类似项目业绩情况（如有，须附清晰可辨的合同复印件。涉及评分项的，证明材料需满足评分细则的相关要求）；</w:t>
      </w:r>
      <w:r>
        <w:rPr>
          <w:rFonts w:hint="eastAsia"/>
          <w:color w:val="auto"/>
          <w:szCs w:val="21"/>
          <w:highlight w:val="auto"/>
        </w:rPr>
        <w:t>投标产品为对省级以上主管部门认定的首台套产品，提供纳入《省推广应用指导目录》等证明材料</w:t>
      </w:r>
      <w:r>
        <w:rPr>
          <w:rFonts w:ascii="Times New Roman" w:hAnsi="Times New Roman"/>
          <w:color w:val="auto"/>
          <w:highlight w:val="auto"/>
        </w:rPr>
        <w:t>（如有）</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5</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采购需求偏离表</w:t>
      </w:r>
      <w:r>
        <w:rPr>
          <w:rFonts w:ascii="宋体" w:cs="宋体"/>
          <w:snapToGrid w:val="0"/>
          <w:color w:val="auto"/>
          <w:kern w:val="0"/>
          <w:szCs w:val="21"/>
          <w:highlight w:val="auto"/>
        </w:rPr>
        <w:t>/</w:t>
      </w:r>
      <w:r>
        <w:rPr>
          <w:rFonts w:ascii="宋体" w:cs="宋体" w:hint="eastAsia"/>
          <w:snapToGrid w:val="0"/>
          <w:color w:val="auto"/>
          <w:kern w:val="0"/>
          <w:szCs w:val="21"/>
          <w:highlight w:val="auto"/>
        </w:rPr>
        <w:t>商务条款偏离表；</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6</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与商务资信标评分有关的其他材料</w:t>
      </w:r>
      <w:r>
        <w:rPr>
          <w:rFonts w:ascii="宋体" w:cs="宋体" w:hint="eastAsia"/>
          <w:b/>
          <w:bCs/>
          <w:snapToGrid w:val="0"/>
          <w:color w:val="auto"/>
          <w:kern w:val="0"/>
          <w:sz w:val="24"/>
          <w:szCs w:val="24"/>
          <w:u w:val="single"/>
          <w:highlight w:val="auto"/>
        </w:rPr>
        <w:t>（</w:t>
      </w:r>
      <w:r>
        <w:rPr>
          <w:rFonts w:ascii="宋体" w:cs="宋体" w:hint="eastAsia"/>
          <w:b/>
          <w:bCs/>
          <w:color w:val="auto"/>
          <w:spacing w:val="-6"/>
          <w:sz w:val="24"/>
          <w:szCs w:val="24"/>
          <w:u w:val="single"/>
          <w:highlight w:val="auto"/>
        </w:rPr>
        <w:t>货物配置清单（不含报价）</w:t>
      </w:r>
      <w:r>
        <w:rPr>
          <w:rFonts w:ascii="宋体" w:cs="宋体" w:hint="eastAsia"/>
          <w:b/>
          <w:bCs/>
          <w:snapToGrid w:val="0"/>
          <w:color w:val="auto"/>
          <w:kern w:val="0"/>
          <w:sz w:val="24"/>
          <w:szCs w:val="24"/>
          <w:u w:val="single"/>
          <w:highlight w:val="auto"/>
        </w:rPr>
        <w:t>）。</w:t>
      </w:r>
    </w:p>
    <w:p>
      <w:pPr>
        <w:tabs>
          <w:tab w:val="left" w:pos="851"/>
          <w:tab w:val="left" w:pos="900"/>
          <w:tab w:val="left" w:pos="1080"/>
        </w:tabs>
        <w:adjustRightInd w:val="0"/>
        <w:snapToGrid w:val="0"/>
        <w:spacing w:line="360" w:lineRule="auto"/>
        <w:ind w:left="340"/>
        <w:jc w:val="left"/>
        <w:rPr>
          <w:rFonts w:ascii="宋体" w:cs="宋体"/>
          <w:b/>
          <w:color w:val="auto"/>
          <w:szCs w:val="21"/>
          <w:highlight w:val="auto"/>
        </w:rPr>
      </w:pPr>
      <w:r>
        <w:rPr>
          <w:rFonts w:ascii="宋体" w:cs="宋体"/>
          <w:b/>
          <w:color w:val="auto"/>
          <w:szCs w:val="21"/>
          <w:highlight w:val="auto"/>
        </w:rPr>
        <w:t>9.2.2</w:t>
      </w:r>
      <w:r>
        <w:rPr>
          <w:rFonts w:ascii="宋体" w:cs="宋体" w:hint="eastAsia"/>
          <w:b/>
          <w:color w:val="auto"/>
          <w:szCs w:val="21"/>
          <w:highlight w:val="auto"/>
        </w:rPr>
        <w:t>技术文件</w:t>
      </w:r>
    </w:p>
    <w:p>
      <w:pPr>
        <w:tabs>
          <w:tab w:val="left" w:pos="851"/>
          <w:tab w:val="left" w:pos="900"/>
          <w:tab w:val="left" w:pos="1080"/>
        </w:tabs>
        <w:adjustRightInd w:val="0"/>
        <w:snapToGrid w:val="0"/>
        <w:spacing w:line="360" w:lineRule="auto"/>
        <w:ind w:left="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包括但不限于以下内容：</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服务方案；提供初步的编制方案；</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针对本项目建设的详细实施计划，包括技术方案、装备详细配置清单及所用材质等明细（品牌、产地、规格、参数），及必要的产品彩页等证明资料</w:t>
      </w:r>
      <w:r>
        <w:rPr>
          <w:rFonts w:ascii="宋体" w:cs="宋体" w:hint="eastAsia"/>
          <w:snapToGrid w:val="0"/>
          <w:color w:val="auto"/>
          <w:kern w:val="0"/>
          <w:szCs w:val="21"/>
          <w:lang w:eastAsia="zh-CN"/>
          <w:highlight w:val="auto"/>
        </w:rPr>
        <w:t>（</w:t>
      </w:r>
      <w:r>
        <w:rPr>
          <w:rFonts w:ascii="宋体" w:eastAsia="宋体" w:cs="宋体" w:hint="eastAsia"/>
          <w:color w:val="auto"/>
          <w:highlight w:val="auto"/>
        </w:rPr>
        <w:t>随机标准附件、备品备件、零配件、专用工具清单</w:t>
      </w:r>
      <w:r>
        <w:rPr>
          <w:rFonts w:ascii="宋体" w:eastAsia="宋体" w:cs="宋体" w:hint="eastAsia"/>
          <w:color w:val="auto"/>
          <w:lang w:eastAsia="zh-CN"/>
          <w:highlight w:val="auto"/>
        </w:rPr>
        <w:t>、</w:t>
      </w:r>
      <w:r>
        <w:rPr>
          <w:rFonts w:ascii="宋体" w:eastAsia="宋体" w:cs="宋体" w:hint="eastAsia"/>
          <w:color w:val="auto"/>
          <w:highlight w:val="auto"/>
        </w:rPr>
        <w:t>产品性能说明</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eastAsia="宋体" w:cs="宋体" w:hint="eastAsia"/>
          <w:color w:val="auto"/>
          <w:highlight w:val="auto"/>
        </w:rPr>
        <w:t>消耗品、易耗品价格清单</w:t>
      </w:r>
      <w:r>
        <w:rPr>
          <w:rFonts w:ascii="宋体" w:eastAsia="宋体" w:cs="宋体" w:hint="eastAsia"/>
          <w:color w:val="auto"/>
          <w:lang w:eastAsia="zh-CN"/>
          <w:highlight w:val="auto"/>
        </w:rPr>
        <w:t>、</w:t>
      </w:r>
      <w:r>
        <w:rPr>
          <w:rFonts w:ascii="宋体" w:eastAsia="宋体" w:cs="宋体" w:hint="eastAsia"/>
          <w:color w:val="auto"/>
          <w:highlight w:val="auto"/>
        </w:rPr>
        <w:t>保修价格，维修配件价格，维修服务费价格</w:t>
      </w:r>
      <w:r>
        <w:rPr>
          <w:rFonts w:ascii="宋体" w:eastAsia="宋体" w:cs="宋体" w:hint="eastAsia"/>
          <w:color w:val="auto"/>
          <w:lang w:eastAsia="zh-CN"/>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生产工艺流程，质量控制措施等；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项目班子配备情况；</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服务承诺；</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包括但不限于有关进度、质量、人员到位等方面的服务承诺；（如有）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项目的组织实施方案，包括产品的供货、验收、安装调试方案及配送承诺等</w:t>
      </w:r>
      <w:r>
        <w:rPr>
          <w:rFonts w:ascii="宋体" w:cs="宋体" w:hint="eastAsia"/>
          <w:snapToGrid w:val="0"/>
          <w:color w:val="auto"/>
          <w:kern w:val="0"/>
          <w:szCs w:val="21"/>
          <w:lang w:eastAsia="zh-CN"/>
          <w:highlight w:val="auto"/>
        </w:rPr>
        <w:t>（</w:t>
      </w:r>
      <w:r>
        <w:rPr>
          <w:rFonts w:ascii="宋体" w:eastAsia="宋体" w:cs="宋体" w:hint="eastAsia"/>
          <w:color w:val="auto"/>
          <w:highlight w:val="auto"/>
        </w:rPr>
        <w:t>安装调试方案，包括对场地环境的了解、人员的安排、时间进度的规划，对设备的调试进度安排，调试的步骤、措施，问题的解决方案等</w:t>
      </w:r>
      <w:r>
        <w:rPr>
          <w:rFonts w:ascii="宋体" w:eastAsia="宋体" w:cs="宋体" w:hint="eastAsia"/>
          <w:color w:val="auto"/>
          <w:lang w:eastAsia="zh-CN"/>
          <w:highlight w:val="auto"/>
        </w:rPr>
        <w:t>；</w:t>
      </w:r>
      <w:r>
        <w:rPr>
          <w:rFonts w:ascii="宋体" w:eastAsia="宋体" w:cs="宋体" w:hint="eastAsia"/>
          <w:color w:val="auto"/>
          <w:highlight w:val="auto"/>
        </w:rPr>
        <w:t>培训方案，包括但不限于培训对象、课时安排、师资力量安排等</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针对本项目能提供的特色服务、增值服务说明；（如有）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技术服务、售后服务的内容和措施，明确售后服务承诺（范围、标准、期限、质保期外维修及零配件等费用），并明示服务承诺可能涉及的前提设定和费用，否则将被认为是无条件和免费的；</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eastAsia="宋体" w:cs="宋体" w:hint="eastAsia"/>
          <w:color w:val="auto"/>
          <w:highlight w:val="auto"/>
        </w:rPr>
        <w:t>投标机型的样本或彩页和原厂技术参数</w:t>
      </w:r>
      <w:r>
        <w:rPr>
          <w:rFonts w:ascii="宋体" w:cs="宋体" w:hint="eastAsia"/>
          <w:color w:val="auto"/>
          <w:lang w:eastAsia="zh-CN"/>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投标人认为需要提供的其它文件及资料。（如有）</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b/>
          <w:snapToGrid w:val="0"/>
          <w:color w:val="auto"/>
          <w:kern w:val="0"/>
          <w:szCs w:val="21"/>
          <w:highlight w:val="auto"/>
        </w:rPr>
        <w:t>9.3</w:t>
      </w:r>
      <w:r>
        <w:rPr>
          <w:rFonts w:ascii="宋体" w:cs="宋体" w:hint="eastAsia"/>
          <w:b/>
          <w:snapToGrid w:val="0"/>
          <w:color w:val="auto"/>
          <w:kern w:val="0"/>
          <w:szCs w:val="21"/>
          <w:highlight w:val="auto"/>
        </w:rPr>
        <w:t>报价文件</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投标函；</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开标一览表；</w:t>
      </w:r>
    </w:p>
    <w:p>
      <w:pPr>
        <w:numPr>
          <w:ilvl w:val="0"/>
          <w:numId w:val="2"/>
        </w:numPr>
        <w:adjustRightInd w:val="0"/>
        <w:snapToGrid w:val="0"/>
        <w:spacing w:line="360" w:lineRule="auto"/>
        <w:ind w:left="993" w:hanging="571"/>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投标报价明细表；</w:t>
      </w:r>
    </w:p>
    <w:p>
      <w:pPr>
        <w:numPr>
          <w:ilvl w:val="0"/>
          <w:numId w:val="2"/>
        </w:numPr>
        <w:tabs>
          <w:tab w:val="left" w:pos="840"/>
          <w:tab w:val="left" w:pos="1050"/>
        </w:tabs>
        <w:adjustRightInd w:val="0"/>
        <w:snapToGrid w:val="0"/>
        <w:spacing w:line="360" w:lineRule="auto"/>
        <w:ind w:left="13" w:firstLine="409"/>
        <w:jc w:val="left"/>
        <w:rPr>
          <w:rFonts w:ascii="宋体" w:cs="宋体"/>
          <w:bCs/>
          <w:snapToGrid w:val="0"/>
          <w:color w:val="auto"/>
          <w:kern w:val="0"/>
          <w:szCs w:val="21"/>
          <w:highlight w:val="auto"/>
        </w:rPr>
      </w:pPr>
      <w:r>
        <w:rPr>
          <w:rFonts w:ascii="宋体" w:cs="宋体" w:hint="eastAsia"/>
          <w:bCs/>
          <w:snapToGrid w:val="0"/>
          <w:color w:val="auto"/>
          <w:kern w:val="0"/>
          <w:szCs w:val="21"/>
          <w:highlight w:val="auto"/>
        </w:rPr>
        <w:t>投标人认为针对报价需要说明的其他文件及资料。</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10</w:t>
      </w:r>
      <w:r>
        <w:rPr>
          <w:rFonts w:ascii="宋体" w:hint="eastAsia"/>
          <w:b/>
          <w:snapToGrid w:val="0"/>
          <w:color w:val="auto"/>
          <w:kern w:val="0"/>
          <w:szCs w:val="21"/>
          <w:highlight w:val="auto"/>
        </w:rPr>
        <w:t>．投标函</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10.1 </w:t>
      </w:r>
      <w:r>
        <w:rPr>
          <w:rFonts w:ascii="宋体" w:hint="eastAsia"/>
          <w:snapToGrid w:val="0"/>
          <w:color w:val="auto"/>
          <w:kern w:val="0"/>
          <w:szCs w:val="21"/>
          <w:highlight w:val="auto"/>
        </w:rPr>
        <w:t>供应商应完整地填写采购文件中提供的投标函和投标相关附件。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10.2 </w:t>
      </w:r>
      <w:r>
        <w:rPr>
          <w:rFonts w:ascii="宋体" w:hint="eastAsia"/>
          <w:snapToGrid w:val="0"/>
          <w:color w:val="auto"/>
          <w:kern w:val="0"/>
          <w:szCs w:val="21"/>
          <w:highlight w:val="auto"/>
        </w:rPr>
        <w:t>投标文件应当对采购文件中有关投标有效期、采购需求等实质性内容作出响应。供应商在满足采购文件实质性要求的基础上，可以提出比采购文件要求更有利于采购人的承诺。</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11</w:t>
      </w:r>
      <w:r>
        <w:rPr>
          <w:rFonts w:ascii="宋体" w:hint="eastAsia"/>
          <w:b/>
          <w:snapToGrid w:val="0"/>
          <w:color w:val="auto"/>
          <w:kern w:val="0"/>
          <w:szCs w:val="21"/>
          <w:highlight w:val="auto"/>
        </w:rPr>
        <w:t>．投标报价</w:t>
      </w:r>
    </w:p>
    <w:p>
      <w:pPr>
        <w:adjustRightInd w:val="0"/>
        <w:snapToGrid w:val="0"/>
        <w:spacing w:line="360" w:lineRule="auto"/>
        <w:ind w:firstLine="435"/>
        <w:rPr>
          <w:rFonts w:ascii="宋体"/>
          <w:snapToGrid w:val="0"/>
          <w:color w:val="auto"/>
          <w:kern w:val="0"/>
          <w:szCs w:val="21"/>
          <w:highlight w:val="auto"/>
        </w:rPr>
      </w:pPr>
      <w:r>
        <w:rPr>
          <w:rFonts w:ascii="宋体"/>
          <w:snapToGrid w:val="0"/>
          <w:color w:val="auto"/>
          <w:kern w:val="0"/>
          <w:szCs w:val="21"/>
          <w:highlight w:val="auto"/>
        </w:rPr>
        <w:t>11.1</w:t>
      </w:r>
      <w:r>
        <w:rPr>
          <w:rFonts w:ascii="宋体" w:hint="eastAsia"/>
          <w:snapToGrid w:val="0"/>
          <w:color w:val="auto"/>
          <w:kern w:val="0"/>
          <w:szCs w:val="21"/>
          <w:highlight w:val="auto"/>
        </w:rPr>
        <w:t>为方便采购人，</w:t>
      </w:r>
      <w:r>
        <w:rPr>
          <w:rFonts w:ascii="宋体" w:hint="eastAsia"/>
          <w:color w:val="auto"/>
          <w:szCs w:val="21"/>
          <w:highlight w:val="auto"/>
        </w:rPr>
        <w:t>供应商应针对不同的报价内容进行分项报价</w:t>
      </w:r>
      <w:r>
        <w:rPr>
          <w:rFonts w:ascii="宋体" w:hint="eastAsia"/>
          <w:color w:val="auto"/>
          <w:szCs w:val="21"/>
          <w:lang w:eastAsia="zh-CN"/>
          <w:highlight w:val="auto"/>
        </w:rPr>
        <w:t>（</w:t>
      </w:r>
      <w:r>
        <w:rPr>
          <w:rFonts w:ascii="宋体" w:hint="eastAsia"/>
          <w:color w:val="auto"/>
          <w:szCs w:val="21"/>
          <w:lang w:val="en-US" w:eastAsia="zh-CN"/>
          <w:highlight w:val="auto"/>
        </w:rPr>
        <w:t>每台设备均需单独报价</w:t>
      </w:r>
      <w:r>
        <w:rPr>
          <w:rFonts w:ascii="宋体" w:hint="eastAsia"/>
          <w:color w:val="auto"/>
          <w:szCs w:val="21"/>
          <w:lang w:eastAsia="zh-CN"/>
          <w:highlight w:val="auto"/>
        </w:rPr>
        <w:t>）</w:t>
      </w:r>
      <w:r>
        <w:rPr>
          <w:rFonts w:ascii="宋体" w:hint="eastAsia"/>
          <w:color w:val="auto"/>
          <w:szCs w:val="21"/>
          <w:highlight w:val="auto"/>
        </w:rPr>
        <w:t>，方便合同结算。</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b/>
          <w:snapToGrid w:val="0"/>
          <w:color w:val="auto"/>
          <w:kern w:val="0"/>
          <w:szCs w:val="21"/>
          <w:highlight w:val="auto"/>
        </w:rPr>
        <w:t>11.2</w:t>
      </w:r>
      <w:r>
        <w:rPr>
          <w:rFonts w:ascii="宋体" w:hint="eastAsia"/>
          <w:b/>
          <w:snapToGrid w:val="0"/>
          <w:color w:val="auto"/>
          <w:kern w:val="0"/>
          <w:szCs w:val="21"/>
          <w:highlight w:val="auto"/>
        </w:rPr>
        <w:t>本次报价方式为总价包干。</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11.3</w:t>
      </w:r>
      <w:r>
        <w:rPr>
          <w:rFonts w:ascii="宋体" w:hint="eastAsia"/>
          <w:snapToGrid w:val="0"/>
          <w:color w:val="auto"/>
          <w:kern w:val="0"/>
          <w:szCs w:val="21"/>
          <w:highlight w:val="auto"/>
        </w:rPr>
        <w:t>采购人要求分类报价是为了方便评标，但在任何情况下不限制采购人以其认为最合适的条款签订合同的权力，采购人有权根据项目需求，增加或减少相关的采购数量，相关的价格风险供应商自行考虑。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11.4</w:t>
      </w:r>
      <w:r>
        <w:rPr>
          <w:rFonts w:ascii="宋体" w:cs="宋体" w:hint="eastAsia"/>
          <w:snapToGrid w:val="0"/>
          <w:color w:val="auto"/>
          <w:kern w:val="0"/>
          <w:szCs w:val="21"/>
          <w:highlight w:val="auto"/>
        </w:rPr>
        <w:t>本项目</w:t>
      </w:r>
      <w:r>
        <w:rPr>
          <w:rFonts w:ascii="宋体" w:hint="eastAsia"/>
          <w:snapToGrid w:val="0"/>
          <w:color w:val="auto"/>
          <w:kern w:val="0"/>
          <w:szCs w:val="21"/>
          <w:highlight w:val="auto"/>
        </w:rPr>
        <w:t>只允许有一个报价，有选择的报价将不予接受。本项目只允许一次报价，不允许以开标后调整的报价作为评标的依据（但按本采购文件投标须知投标文件错误的修正并经评标委员会认定或经供应商确认同意的除外）。</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11.5</w:t>
      </w:r>
      <w:r>
        <w:rPr>
          <w:rFonts w:ascii="宋体" w:hint="eastAsia"/>
          <w:snapToGrid w:val="0"/>
          <w:color w:val="auto"/>
          <w:kern w:val="0"/>
          <w:szCs w:val="21"/>
          <w:highlight w:val="auto"/>
        </w:rPr>
        <w:t>其它需在报价中考虑的因素：</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）价格单列的内容，若采购人在合同执行过程中未采用时，采购人可扣回相应费用。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）本项目的招标代理服务费用须由中标供应商支付给采购代理机构。</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w:t>
      </w:r>
      <w:r>
        <w:rPr>
          <w:rFonts w:ascii="宋体" w:hint="eastAsia"/>
          <w:b/>
          <w:snapToGrid w:val="0"/>
          <w:color w:val="auto"/>
          <w:kern w:val="0"/>
          <w:szCs w:val="21"/>
          <w:highlight w:val="auto"/>
        </w:rPr>
        <w:t>对于没有填报的项目，采购人将不再支付，并均认为已包含在报价内。</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12</w:t>
      </w:r>
      <w:r>
        <w:rPr>
          <w:rFonts w:ascii="宋体" w:hint="eastAsia"/>
          <w:b/>
          <w:snapToGrid w:val="0"/>
          <w:color w:val="auto"/>
          <w:kern w:val="0"/>
          <w:szCs w:val="21"/>
          <w:highlight w:val="auto"/>
        </w:rPr>
        <w:t>．投标货币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供应商用人民币报价。</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13</w:t>
      </w:r>
      <w:r>
        <w:rPr>
          <w:rFonts w:ascii="宋体" w:hint="eastAsia"/>
          <w:b/>
          <w:snapToGrid w:val="0"/>
          <w:color w:val="auto"/>
          <w:kern w:val="0"/>
          <w:szCs w:val="21"/>
          <w:highlight w:val="auto"/>
        </w:rPr>
        <w:t>．投标保证金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本项目不作要求。</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14</w:t>
      </w:r>
      <w:r>
        <w:rPr>
          <w:rFonts w:ascii="宋体" w:hint="eastAsia"/>
          <w:b/>
          <w:snapToGrid w:val="0"/>
          <w:color w:val="auto"/>
          <w:kern w:val="0"/>
          <w:szCs w:val="21"/>
          <w:highlight w:val="auto"/>
        </w:rPr>
        <w:t>．投标有效期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14.1 </w:t>
      </w:r>
      <w:r>
        <w:rPr>
          <w:rFonts w:ascii="宋体" w:hint="eastAsia"/>
          <w:snapToGrid w:val="0"/>
          <w:color w:val="auto"/>
          <w:kern w:val="0"/>
          <w:szCs w:val="21"/>
          <w:highlight w:val="auto"/>
        </w:rPr>
        <w:t>投标文件在开标之日起</w:t>
      </w:r>
      <w:r>
        <w:rPr>
          <w:rFonts w:ascii="宋体"/>
          <w:snapToGrid w:val="0"/>
          <w:color w:val="auto"/>
          <w:kern w:val="0"/>
          <w:szCs w:val="21"/>
          <w:highlight w:val="auto"/>
        </w:rPr>
        <w:t>90</w:t>
      </w:r>
      <w:r>
        <w:rPr>
          <w:rFonts w:ascii="宋体" w:hint="eastAsia"/>
          <w:snapToGrid w:val="0"/>
          <w:color w:val="auto"/>
          <w:kern w:val="0"/>
          <w:szCs w:val="21"/>
          <w:highlight w:val="auto"/>
        </w:rPr>
        <w:t>日历天内有效。</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14.2 </w:t>
      </w:r>
      <w:r>
        <w:rPr>
          <w:rFonts w:ascii="宋体" w:hint="eastAsia"/>
          <w:snapToGrid w:val="0"/>
          <w:color w:val="auto"/>
          <w:kern w:val="0"/>
          <w:szCs w:val="21"/>
          <w:highlight w:val="auto"/>
        </w:rPr>
        <w:t>在原定投标有效期满之前，如果出现特殊情况，采购人可以以书面形式向供应商提出延长投标有效期的要求。这种要求与答复均应采用书面形式如传真或信件等。供应商可以拒绝接受采购人的这种要求而放弃投标。接受延长投标有效期的供应商将不会被要求和允许修正其投标。有限期约束的所有权力和义务均延长至新的有限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14.3 </w:t>
      </w:r>
      <w:r>
        <w:rPr>
          <w:rFonts w:ascii="宋体" w:hint="eastAsia"/>
          <w:snapToGrid w:val="0"/>
          <w:color w:val="auto"/>
          <w:kern w:val="0"/>
          <w:szCs w:val="21"/>
          <w:highlight w:val="auto"/>
        </w:rPr>
        <w:t>中标人的投标文件自开标之日起至合同履行完毕止均应保持有效。</w:t>
      </w:r>
    </w:p>
    <w:p>
      <w:pPr>
        <w:adjustRightInd w:val="0"/>
        <w:snapToGrid w:val="0"/>
        <w:spacing w:line="360" w:lineRule="auto"/>
        <w:ind w:firstLineChars="200" w:firstLine="420"/>
        <w:rPr>
          <w:rFonts w:ascii="宋体"/>
          <w:b/>
          <w:snapToGrid w:val="0"/>
          <w:color w:val="auto"/>
          <w:kern w:val="0"/>
          <w:szCs w:val="21"/>
          <w:u w:val="single"/>
          <w:highlight w:val="auto"/>
        </w:rPr>
      </w:pPr>
      <w:r>
        <w:rPr>
          <w:rFonts w:ascii="宋体" w:cs="宋体" w:hint="eastAsia"/>
          <w:b/>
          <w:snapToGrid w:val="0"/>
          <w:color w:val="auto"/>
          <w:kern w:val="0"/>
          <w:szCs w:val="21"/>
          <w:highlight w:val="auto"/>
        </w:rPr>
        <w:t>▲</w:t>
      </w:r>
      <w:r>
        <w:rPr>
          <w:rFonts w:ascii="宋体"/>
          <w:b/>
          <w:snapToGrid w:val="0"/>
          <w:color w:val="auto"/>
          <w:kern w:val="0"/>
          <w:szCs w:val="21"/>
          <w:highlight w:val="auto"/>
        </w:rPr>
        <w:t>15</w:t>
      </w:r>
      <w:r>
        <w:rPr>
          <w:rFonts w:ascii="宋体" w:hint="eastAsia"/>
          <w:b/>
          <w:snapToGrid w:val="0"/>
          <w:color w:val="auto"/>
          <w:kern w:val="0"/>
          <w:szCs w:val="21"/>
          <w:highlight w:val="auto"/>
        </w:rPr>
        <w:t>．投标文件的式样和签署</w:t>
      </w:r>
    </w:p>
    <w:p>
      <w:pPr>
        <w:adjustRightInd w:val="0"/>
        <w:snapToGrid w:val="0"/>
        <w:spacing w:line="360" w:lineRule="auto"/>
        <w:ind w:firstLineChars="200" w:firstLine="420"/>
        <w:jc w:val="left"/>
        <w:rPr>
          <w:rFonts w:ascii="宋体"/>
          <w:snapToGrid w:val="0"/>
          <w:color w:val="auto"/>
          <w:kern w:val="0"/>
          <w:szCs w:val="21"/>
          <w:highlight w:val="auto"/>
        </w:rPr>
      </w:pPr>
      <w:bookmarkStart w:id="36" w:name="_Toc251566653"/>
      <w:bookmarkStart w:id="37" w:name="_Toc240450080"/>
      <w:r>
        <w:rPr>
          <w:rFonts w:ascii="宋体"/>
          <w:snapToGrid w:val="0"/>
          <w:color w:val="auto"/>
          <w:kern w:val="0"/>
          <w:szCs w:val="21"/>
          <w:highlight w:val="auto"/>
        </w:rPr>
        <w:t xml:space="preserve">15.1 </w:t>
      </w:r>
      <w:r>
        <w:rPr>
          <w:rFonts w:ascii="宋体" w:hint="eastAsia"/>
          <w:snapToGrid w:val="0"/>
          <w:color w:val="auto"/>
          <w:kern w:val="0"/>
          <w:szCs w:val="21"/>
          <w:highlight w:val="auto"/>
        </w:rPr>
        <w:t>供应商应按照本采购文件规定的格式和顺序编制、装订投标文件。投标文件内容不完整、编排混乱导致投标文件被误读、漏读，或者在按采购文件规定装订成册的部分查找不到相关内容的，是供应商的责任。</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snapToGrid w:val="0"/>
          <w:color w:val="auto"/>
          <w:kern w:val="0"/>
          <w:szCs w:val="21"/>
          <w:highlight w:val="auto"/>
        </w:rPr>
        <w:t xml:space="preserve">15.2 </w:t>
      </w:r>
      <w:r>
        <w:rPr>
          <w:rFonts w:ascii="宋体" w:hint="eastAsia"/>
          <w:snapToGrid w:val="0"/>
          <w:color w:val="auto"/>
          <w:kern w:val="0"/>
          <w:szCs w:val="21"/>
          <w:highlight w:val="auto"/>
        </w:rPr>
        <w:t>供应商递交的纸质投标文件包括</w:t>
      </w:r>
      <w:r>
        <w:rPr>
          <w:rFonts w:ascii="宋体"/>
          <w:snapToGrid w:val="0"/>
          <w:color w:val="auto"/>
          <w:kern w:val="0"/>
          <w:szCs w:val="21"/>
          <w:highlight w:val="auto"/>
        </w:rPr>
        <w:t xml:space="preserve"> </w:t>
      </w:r>
      <w:r>
        <w:rPr>
          <w:rFonts w:ascii="宋体" w:hint="eastAsia"/>
          <w:snapToGrid w:val="0"/>
          <w:color w:val="auto"/>
          <w:kern w:val="0"/>
          <w:szCs w:val="21"/>
          <w:highlight w:val="auto"/>
        </w:rPr>
        <w:t>“正本”一份、“副本”四份、</w:t>
      </w:r>
      <w:r>
        <w:rPr>
          <w:rFonts w:ascii="宋体" w:hint="eastAsia"/>
          <w:color w:val="auto"/>
          <w:szCs w:val="21"/>
          <w:highlight w:val="auto"/>
        </w:rPr>
        <w:t>电子文档</w:t>
      </w:r>
      <w:r>
        <w:rPr>
          <w:rFonts w:ascii="宋体"/>
          <w:color w:val="auto"/>
          <w:szCs w:val="21"/>
          <w:highlight w:val="auto"/>
        </w:rPr>
        <w:t>U</w:t>
      </w:r>
      <w:r>
        <w:rPr>
          <w:rFonts w:ascii="宋体" w:hint="eastAsia"/>
          <w:color w:val="auto"/>
          <w:szCs w:val="21"/>
          <w:highlight w:val="auto"/>
        </w:rPr>
        <w:t>盘或光盘一份</w:t>
      </w:r>
      <w:r>
        <w:rPr>
          <w:rFonts w:ascii="宋体" w:hint="eastAsia"/>
          <w:snapToGrid w:val="0"/>
          <w:color w:val="auto"/>
          <w:kern w:val="0"/>
          <w:szCs w:val="21"/>
          <w:highlight w:val="auto"/>
        </w:rPr>
        <w:t>。每份文件包含资格文件、商务技术文件、报价文件三部分内容，</w:t>
      </w:r>
      <w:r>
        <w:rPr>
          <w:rFonts w:ascii="宋体" w:hint="eastAsia"/>
          <w:b/>
          <w:snapToGrid w:val="0"/>
          <w:color w:val="auto"/>
          <w:kern w:val="0"/>
          <w:szCs w:val="21"/>
          <w:u w:val="single"/>
          <w:highlight w:val="auto"/>
        </w:rPr>
        <w:t>其中报价文件需单独装订成册，资格文件和商务技术文件建议合并成一册</w:t>
      </w:r>
      <w:r>
        <w:rPr>
          <w:rFonts w:ascii="宋体" w:hint="eastAsia"/>
          <w:b/>
          <w:snapToGrid w:val="0"/>
          <w:color w:val="auto"/>
          <w:kern w:val="0"/>
          <w:sz w:val="24"/>
          <w:szCs w:val="24"/>
          <w:u w:val="single"/>
          <w:highlight w:val="auto"/>
        </w:rPr>
        <w:t>（电子文档密封在报价中，密封错误的将被拒收）</w:t>
      </w:r>
      <w:r>
        <w:rPr>
          <w:rFonts w:ascii="宋体" w:hint="eastAsia"/>
          <w:b/>
          <w:snapToGrid w:val="0"/>
          <w:color w:val="auto"/>
          <w:kern w:val="0"/>
          <w:szCs w:val="21"/>
          <w:u w:val="single"/>
          <w:highlight w:val="auto"/>
        </w:rPr>
        <w:t>。</w:t>
      </w:r>
      <w:r>
        <w:rPr>
          <w:rFonts w:ascii="宋体" w:hint="eastAsia"/>
          <w:b/>
          <w:snapToGrid w:val="0"/>
          <w:color w:val="auto"/>
          <w:kern w:val="0"/>
          <w:szCs w:val="21"/>
          <w:highlight w:val="auto"/>
        </w:rPr>
        <w:t>投标文件建议胶装（卡纸或铜版纸作封面，不建议硬质纸板做封面），不得出现散页、活页否则将会拒收。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其中投标文件的正本必须打印或用不褪色墨水书写，字迹须清晰易于辨认。投标文件的正本和副本有不一致的，以正本为准。</w:t>
      </w:r>
      <w:r>
        <w:rPr>
          <w:rFonts w:ascii="宋体" w:hint="eastAsia"/>
          <w:b/>
          <w:color w:val="auto"/>
          <w:spacing w:val="-4"/>
          <w:szCs w:val="21"/>
          <w:highlight w:val="auto"/>
        </w:rPr>
        <w:t>标注需要签字或盖章的地方，未签字盖章的，作无效标处理。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15.3 </w:t>
      </w:r>
      <w:r>
        <w:rPr>
          <w:rFonts w:ascii="宋体" w:hint="eastAsia"/>
          <w:snapToGrid w:val="0"/>
          <w:color w:val="auto"/>
          <w:kern w:val="0"/>
          <w:szCs w:val="21"/>
          <w:highlight w:val="auto"/>
        </w:rPr>
        <w:t>投标文件的投标函应加盖供应商公章，并经法定代表人或其委托代理人签字。</w:t>
      </w:r>
      <w:r>
        <w:rPr>
          <w:rFonts w:ascii="宋体" w:hint="eastAsia"/>
          <w:b/>
          <w:snapToGrid w:val="0"/>
          <w:color w:val="auto"/>
          <w:kern w:val="0"/>
          <w:szCs w:val="21"/>
          <w:highlight w:val="auto"/>
        </w:rPr>
        <w:t>投标文件中有委托代理人签字或盖章的必须同时提供法定代表人资格证明书及授权委托函（书）</w:t>
      </w:r>
      <w:r>
        <w:rPr>
          <w:rFonts w:ascii="宋体" w:hint="eastAsia"/>
          <w:snapToGrid w:val="0"/>
          <w:color w:val="auto"/>
          <w:kern w:val="0"/>
          <w:szCs w:val="21"/>
          <w:highlight w:val="auto"/>
        </w:rPr>
        <w:t>。法定代表人资格证明书及授权委托函格式、签字、盖章及内容均应符合要求，否则投标文件无效。投标文件正本中依据采购文件要求加盖供应商公章</w:t>
      </w:r>
      <w:r>
        <w:rPr>
          <w:rFonts w:ascii="宋体" w:hint="eastAsia"/>
          <w:b/>
          <w:snapToGrid w:val="0"/>
          <w:color w:val="auto"/>
          <w:kern w:val="0"/>
          <w:szCs w:val="21"/>
          <w:u w:val="single"/>
          <w:highlight w:val="auto"/>
        </w:rPr>
        <w:t>（除此之外的投标专用章、合同章等均视为无效）</w:t>
      </w:r>
      <w:r>
        <w:rPr>
          <w:rFonts w:ascii="宋体" w:hint="eastAsia"/>
          <w:snapToGrid w:val="0"/>
          <w:color w:val="auto"/>
          <w:kern w:val="0"/>
          <w:szCs w:val="21"/>
          <w:highlight w:val="auto"/>
        </w:rPr>
        <w:t>、法定代表人或其委托代理人签字或盖章的地方须为原件。副本可复印正本内容。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15.4 </w:t>
      </w:r>
      <w:r>
        <w:rPr>
          <w:rFonts w:ascii="宋体" w:hint="eastAsia"/>
          <w:snapToGrid w:val="0"/>
          <w:color w:val="auto"/>
          <w:kern w:val="0"/>
          <w:szCs w:val="21"/>
          <w:highlight w:val="auto"/>
        </w:rPr>
        <w:t>除供应商对错误之处必须修改外，全套投标文件应无涂改或行间插字和增删。修改处须有供应商法定代表人或被授权代表的签字或盖章，否则，评标委员会将不予接受。</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15.5 </w:t>
      </w:r>
      <w:r>
        <w:rPr>
          <w:rFonts w:ascii="宋体" w:hint="eastAsia"/>
          <w:snapToGrid w:val="0"/>
          <w:color w:val="auto"/>
          <w:kern w:val="0"/>
          <w:szCs w:val="21"/>
          <w:highlight w:val="auto"/>
        </w:rPr>
        <w:t>投标文件每册目录所示页码应该是该册唯一的页码，其唯一的页码应该与目录所示的页码相吻合。供应商应针对评标细则逐条编制响应内容并标注对应页码，否则采购人不承担因为该项错误导致找不到目录所示内容而漏评或因标书编制质量而被扣分的责任。</w:t>
      </w:r>
    </w:p>
    <w:p>
      <w:pPr>
        <w:adjustRightInd w:val="0"/>
        <w:snapToGrid w:val="0"/>
        <w:spacing w:line="360" w:lineRule="auto"/>
        <w:ind w:firstLineChars="200" w:firstLine="420"/>
        <w:rPr>
          <w:rFonts w:ascii="宋体"/>
          <w:b/>
          <w:snapToGrid w:val="0"/>
          <w:color w:val="auto"/>
          <w:kern w:val="0"/>
          <w:szCs w:val="21"/>
          <w:u w:val="single"/>
          <w:highlight w:val="auto"/>
        </w:rPr>
      </w:pPr>
      <w:bookmarkStart w:id="38" w:name="_Toc30477"/>
      <w:bookmarkStart w:id="39" w:name="_Toc367274980"/>
      <w:bookmarkStart w:id="40" w:name="_Toc60757524"/>
      <w:r>
        <w:rPr>
          <w:rFonts w:ascii="宋体" w:hint="eastAsia"/>
          <w:snapToGrid w:val="0"/>
          <w:color w:val="auto"/>
          <w:szCs w:val="21"/>
          <w:highlight w:val="auto"/>
        </w:rPr>
        <w:t>四、投标文件的递交</w:t>
      </w:r>
      <w:bookmarkEnd w:id="36"/>
      <w:bookmarkEnd w:id="37"/>
      <w:bookmarkEnd w:id="38"/>
      <w:bookmarkEnd w:id="39"/>
      <w:bookmarkEnd w:id="40"/>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16</w:t>
      </w:r>
      <w:r>
        <w:rPr>
          <w:rFonts w:ascii="宋体" w:hint="eastAsia"/>
          <w:b/>
          <w:snapToGrid w:val="0"/>
          <w:color w:val="auto"/>
          <w:kern w:val="0"/>
          <w:szCs w:val="21"/>
          <w:highlight w:val="auto"/>
        </w:rPr>
        <w:t>．投标文件的密封与标志</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 xml:space="preserve">16.1  </w:t>
      </w:r>
      <w:r>
        <w:rPr>
          <w:rFonts w:ascii="宋体" w:hint="eastAsia"/>
          <w:b/>
          <w:snapToGrid w:val="0"/>
          <w:color w:val="auto"/>
          <w:kern w:val="0"/>
          <w:szCs w:val="21"/>
          <w:highlight w:val="auto"/>
        </w:rPr>
        <w:t>供应商须将投标文件密封包装。报价文件必须单独密封，否则投标无效。</w:t>
      </w:r>
    </w:p>
    <w:p>
      <w:pPr>
        <w:adjustRightInd w:val="0"/>
        <w:snapToGrid w:val="0"/>
        <w:spacing w:line="360" w:lineRule="auto"/>
        <w:ind w:firstLineChars="200" w:firstLine="420"/>
        <w:rPr>
          <w:rFonts w:ascii="宋体"/>
          <w:snapToGrid w:val="0"/>
          <w:color w:val="auto"/>
          <w:kern w:val="0"/>
          <w:szCs w:val="21"/>
          <w:highlight w:val="auto"/>
        </w:rPr>
      </w:pPr>
      <w:r>
        <w:rPr>
          <w:rFonts w:ascii="宋体"/>
          <w:snapToGrid w:val="0"/>
          <w:color w:val="auto"/>
          <w:kern w:val="0"/>
          <w:szCs w:val="21"/>
          <w:highlight w:val="auto"/>
        </w:rPr>
        <w:t>16.2</w:t>
      </w:r>
      <w:r>
        <w:rPr>
          <w:rFonts w:ascii="宋体" w:hint="eastAsia"/>
          <w:snapToGrid w:val="0"/>
          <w:color w:val="auto"/>
          <w:kern w:val="0"/>
          <w:szCs w:val="21"/>
          <w:highlight w:val="auto"/>
        </w:rPr>
        <w:t>密封处加盖供应商公章或密封章。</w:t>
      </w:r>
    </w:p>
    <w:p>
      <w:pPr>
        <w:adjustRightInd w:val="0"/>
        <w:snapToGrid w:val="0"/>
        <w:spacing w:line="360" w:lineRule="auto"/>
        <w:ind w:firstLineChars="200" w:firstLine="420"/>
        <w:rPr>
          <w:rFonts w:ascii="宋体"/>
          <w:snapToGrid w:val="0"/>
          <w:color w:val="auto"/>
          <w:kern w:val="0"/>
          <w:szCs w:val="21"/>
          <w:highlight w:val="auto"/>
        </w:rPr>
      </w:pPr>
      <w:r>
        <w:rPr>
          <w:rFonts w:ascii="宋体" w:hint="eastAsia"/>
          <w:snapToGrid w:val="0"/>
          <w:color w:val="auto"/>
          <w:kern w:val="0"/>
          <w:szCs w:val="21"/>
          <w:highlight w:val="auto"/>
        </w:rPr>
        <w:t>密封袋均应注明：</w:t>
      </w:r>
    </w:p>
    <w:p>
      <w:pPr>
        <w:pStyle w:val="25"/>
        <w:spacing w:line="360" w:lineRule="auto"/>
        <w:ind w:left="0" w:rightChars="0" w:right="-120" w:firstLineChars="200" w:firstLine="420"/>
        <w:rPr>
          <w:rFonts w:ascii="宋体"/>
          <w:snapToGrid w:val="0"/>
          <w:color w:val="auto"/>
          <w:kern w:val="0"/>
          <w:sz w:val="21"/>
          <w:szCs w:val="21"/>
          <w:u w:val="single"/>
          <w:highlight w:val="auto"/>
        </w:rPr>
      </w:pPr>
      <w:r>
        <w:rPr>
          <w:rFonts w:ascii="宋体" w:hint="eastAsia"/>
          <w:snapToGrid w:val="0"/>
          <w:color w:val="auto"/>
          <w:kern w:val="0"/>
          <w:sz w:val="21"/>
          <w:szCs w:val="21"/>
          <w:highlight w:val="auto"/>
        </w:rPr>
        <w:t>“（</w:t>
      </w:r>
      <w:r>
        <w:rPr>
          <w:rFonts w:ascii="宋体"/>
          <w:snapToGrid w:val="0"/>
          <w:color w:val="auto"/>
          <w:kern w:val="0"/>
          <w:sz w:val="21"/>
          <w:szCs w:val="21"/>
          <w:highlight w:val="auto"/>
        </w:rPr>
        <w:t>1</w:t>
      </w:r>
      <w:r>
        <w:rPr>
          <w:rFonts w:ascii="宋体" w:hint="eastAsia"/>
          <w:snapToGrid w:val="0"/>
          <w:color w:val="auto"/>
          <w:kern w:val="0"/>
          <w:sz w:val="21"/>
          <w:szCs w:val="21"/>
          <w:highlight w:val="auto"/>
        </w:rPr>
        <w:t>）采购人名称：</w:t>
      </w:r>
      <w:r>
        <w:rPr>
          <w:rFonts w:ascii="宋体"/>
          <w:snapToGrid w:val="0"/>
          <w:color w:val="auto"/>
          <w:kern w:val="0"/>
          <w:sz w:val="21"/>
          <w:szCs w:val="21"/>
          <w:u w:val="single"/>
          <w:highlight w:val="auto"/>
        </w:rPr>
        <w:t xml:space="preserve">                              </w:t>
      </w:r>
    </w:p>
    <w:p>
      <w:pPr>
        <w:pStyle w:val="25"/>
        <w:spacing w:line="360" w:lineRule="auto"/>
        <w:ind w:left="0" w:rightChars="0" w:right="-120" w:firstLineChars="200" w:firstLine="420"/>
        <w:rPr>
          <w:rFonts w:ascii="宋体"/>
          <w:snapToGrid w:val="0"/>
          <w:color w:val="auto"/>
          <w:kern w:val="0"/>
          <w:sz w:val="21"/>
          <w:szCs w:val="21"/>
          <w:highlight w:val="auto"/>
        </w:rPr>
      </w:pPr>
      <w:r>
        <w:rPr>
          <w:rFonts w:ascii="宋体" w:hint="eastAsia"/>
          <w:snapToGrid w:val="0"/>
          <w:color w:val="auto"/>
          <w:kern w:val="0"/>
          <w:sz w:val="21"/>
          <w:szCs w:val="21"/>
          <w:highlight w:val="auto"/>
        </w:rPr>
        <w:t>采购人地址：</w:t>
      </w:r>
      <w:r>
        <w:rPr>
          <w:rFonts w:ascii="宋体"/>
          <w:snapToGrid w:val="0"/>
          <w:color w:val="auto"/>
          <w:kern w:val="0"/>
          <w:sz w:val="21"/>
          <w:szCs w:val="21"/>
          <w:u w:val="single"/>
          <w:highlight w:val="auto"/>
        </w:rPr>
        <w:t xml:space="preserve">                              </w:t>
      </w:r>
    </w:p>
    <w:p>
      <w:pPr>
        <w:pStyle w:val="25"/>
        <w:spacing w:line="360" w:lineRule="auto"/>
        <w:ind w:left="0" w:rightChars="0" w:right="-120" w:firstLineChars="200" w:firstLine="420"/>
        <w:rPr>
          <w:rFonts w:ascii="宋体"/>
          <w:snapToGrid w:val="0"/>
          <w:color w:val="auto"/>
          <w:kern w:val="0"/>
          <w:sz w:val="21"/>
          <w:szCs w:val="21"/>
          <w:u w:val="single"/>
          <w:highlight w:val="auto"/>
        </w:rPr>
      </w:pPr>
      <w:r>
        <w:rPr>
          <w:rFonts w:ascii="宋体" w:hint="eastAsia"/>
          <w:snapToGrid w:val="0"/>
          <w:color w:val="auto"/>
          <w:kern w:val="0"/>
          <w:sz w:val="21"/>
          <w:szCs w:val="21"/>
          <w:highlight w:val="auto"/>
        </w:rPr>
        <w:t>（</w:t>
      </w:r>
      <w:r>
        <w:rPr>
          <w:rFonts w:ascii="宋体"/>
          <w:snapToGrid w:val="0"/>
          <w:color w:val="auto"/>
          <w:kern w:val="0"/>
          <w:sz w:val="21"/>
          <w:szCs w:val="21"/>
          <w:highlight w:val="auto"/>
        </w:rPr>
        <w:t>2</w:t>
      </w:r>
      <w:r>
        <w:rPr>
          <w:rFonts w:ascii="宋体" w:hint="eastAsia"/>
          <w:snapToGrid w:val="0"/>
          <w:color w:val="auto"/>
          <w:kern w:val="0"/>
          <w:sz w:val="21"/>
          <w:szCs w:val="21"/>
          <w:highlight w:val="auto"/>
        </w:rPr>
        <w:t>）供应商名称：</w:t>
      </w:r>
      <w:r>
        <w:rPr>
          <w:rFonts w:ascii="宋体"/>
          <w:snapToGrid w:val="0"/>
          <w:color w:val="auto"/>
          <w:kern w:val="0"/>
          <w:sz w:val="21"/>
          <w:szCs w:val="21"/>
          <w:u w:val="single"/>
          <w:highlight w:val="auto"/>
        </w:rPr>
        <w:t xml:space="preserve">                               </w:t>
      </w:r>
    </w:p>
    <w:p>
      <w:pPr>
        <w:pStyle w:val="25"/>
        <w:spacing w:line="360" w:lineRule="auto"/>
        <w:ind w:left="0" w:rightChars="0" w:right="-120" w:firstLineChars="200" w:firstLine="420"/>
        <w:rPr>
          <w:rFonts w:ascii="宋体"/>
          <w:snapToGrid w:val="0"/>
          <w:color w:val="auto"/>
          <w:kern w:val="0"/>
          <w:sz w:val="21"/>
          <w:szCs w:val="21"/>
          <w:highlight w:val="auto"/>
        </w:rPr>
      </w:pPr>
      <w:r>
        <w:rPr>
          <w:rFonts w:ascii="宋体" w:hint="eastAsia"/>
          <w:snapToGrid w:val="0"/>
          <w:color w:val="auto"/>
          <w:kern w:val="0"/>
          <w:sz w:val="21"/>
          <w:szCs w:val="21"/>
          <w:highlight w:val="auto"/>
        </w:rPr>
        <w:t>供应商地址：</w:t>
      </w:r>
      <w:r>
        <w:rPr>
          <w:rFonts w:ascii="宋体"/>
          <w:snapToGrid w:val="0"/>
          <w:color w:val="auto"/>
          <w:kern w:val="0"/>
          <w:sz w:val="21"/>
          <w:szCs w:val="21"/>
          <w:u w:val="single"/>
          <w:highlight w:val="auto"/>
        </w:rPr>
        <w:t xml:space="preserve">                              </w:t>
      </w:r>
    </w:p>
    <w:p>
      <w:pPr>
        <w:pStyle w:val="25"/>
        <w:spacing w:line="360" w:lineRule="auto"/>
        <w:ind w:leftChars="200" w:left="420" w:rightChars="0" w:right="-120"/>
        <w:rPr>
          <w:rFonts w:ascii="宋体"/>
          <w:snapToGrid w:val="0"/>
          <w:color w:val="auto"/>
          <w:kern w:val="0"/>
          <w:sz w:val="21"/>
          <w:szCs w:val="21"/>
          <w:u w:val="single"/>
          <w:highlight w:val="auto"/>
        </w:rPr>
      </w:pP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lang w:val="en-US" w:eastAsia="zh-CN"/>
          <w:highlight w:val="auto"/>
        </w:rPr>
        <w:t>3</w:t>
      </w: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highlight w:val="auto"/>
        </w:rPr>
        <w:t>项目名称：</w:t>
      </w:r>
      <w:r>
        <w:rPr>
          <w:rFonts w:ascii="宋体"/>
          <w:snapToGrid w:val="0"/>
          <w:color w:val="auto"/>
          <w:kern w:val="0"/>
          <w:sz w:val="21"/>
          <w:szCs w:val="21"/>
          <w:u w:val="single"/>
          <w:highlight w:val="auto"/>
        </w:rPr>
        <w:t xml:space="preserve">                                 </w:t>
      </w:r>
    </w:p>
    <w:p>
      <w:pPr>
        <w:pStyle w:val="25"/>
        <w:spacing w:line="360" w:lineRule="auto"/>
        <w:ind w:leftChars="200" w:left="420" w:rightChars="0" w:right="-120"/>
        <w:rPr>
          <w:rFonts w:ascii="宋体"/>
          <w:snapToGrid w:val="0"/>
          <w:color w:val="auto"/>
          <w:kern w:val="0"/>
          <w:sz w:val="21"/>
          <w:szCs w:val="21"/>
          <w:highlight w:val="auto"/>
        </w:rPr>
      </w:pP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lang w:val="en-US" w:eastAsia="zh-CN"/>
          <w:highlight w:val="auto"/>
        </w:rPr>
        <w:t>4</w:t>
      </w:r>
      <w:r>
        <w:rPr>
          <w:rFonts w:ascii="宋体" w:hint="eastAsia"/>
          <w:snapToGrid w:val="0"/>
          <w:color w:val="auto"/>
          <w:kern w:val="0"/>
          <w:sz w:val="21"/>
          <w:szCs w:val="21"/>
          <w:lang w:eastAsia="zh-CN"/>
          <w:highlight w:val="auto"/>
        </w:rPr>
        <w:t>）</w:t>
      </w:r>
      <w:r>
        <w:rPr>
          <w:rFonts w:ascii="宋体" w:hint="eastAsia"/>
          <w:snapToGrid w:val="0"/>
          <w:color w:val="auto"/>
          <w:kern w:val="0"/>
          <w:sz w:val="21"/>
          <w:szCs w:val="21"/>
          <w:highlight w:val="auto"/>
        </w:rPr>
        <w:t>项目编号：</w:t>
      </w:r>
      <w:r>
        <w:rPr>
          <w:rFonts w:ascii="宋体"/>
          <w:snapToGrid w:val="0"/>
          <w:color w:val="auto"/>
          <w:kern w:val="0"/>
          <w:sz w:val="21"/>
          <w:szCs w:val="21"/>
          <w:u w:val="single"/>
          <w:highlight w:val="auto"/>
        </w:rPr>
        <w:t xml:space="preserve">                                </w:t>
      </w:r>
    </w:p>
    <w:p>
      <w:pPr>
        <w:pStyle w:val="28"/>
        <w:adjustRightInd w:val="0"/>
        <w:spacing w:line="360" w:lineRule="auto"/>
        <w:ind w:firstLineChars="245" w:firstLine="490"/>
        <w:rPr>
          <w:snapToGrid w:val="0"/>
          <w:color w:val="auto"/>
          <w:highlight w:val="auto"/>
        </w:rPr>
      </w:pPr>
      <w:r>
        <w:rPr>
          <w:rFonts w:hint="eastAsia"/>
          <w:snapToGrid w:val="0"/>
          <w:color w:val="auto"/>
          <w:szCs w:val="21"/>
          <w:highlight w:val="auto"/>
        </w:rPr>
        <w:t>（</w:t>
      </w:r>
      <w:r>
        <w:rPr>
          <w:rFonts w:hint="eastAsia"/>
          <w:snapToGrid w:val="0"/>
          <w:color w:val="auto"/>
          <w:szCs w:val="21"/>
          <w:lang w:val="en-US" w:eastAsia="zh-CN"/>
          <w:highlight w:val="auto"/>
        </w:rPr>
        <w:t>5</w:t>
      </w:r>
      <w:r>
        <w:rPr>
          <w:rFonts w:hint="eastAsia"/>
          <w:snapToGrid w:val="0"/>
          <w:color w:val="auto"/>
          <w:szCs w:val="21"/>
          <w:highlight w:val="auto"/>
        </w:rPr>
        <w:t>）“在</w:t>
      </w:r>
      <w:r>
        <w:rPr>
          <w:color w:val="auto"/>
          <w:highlight w:val="auto"/>
        </w:rPr>
        <w:t>_</w:t>
      </w:r>
      <w:r>
        <w:rPr>
          <w:color w:val="auto"/>
          <w:u w:val="single"/>
          <w:highlight w:val="auto"/>
        </w:rPr>
        <w:t xml:space="preserve"> </w:t>
      </w:r>
      <w:r>
        <w:rPr>
          <w:color w:val="auto"/>
          <w:highlight w:val="auto"/>
        </w:rPr>
        <w:t>_</w:t>
      </w:r>
      <w:r>
        <w:rPr>
          <w:rFonts w:hint="eastAsia"/>
          <w:color w:val="auto"/>
          <w:highlight w:val="auto"/>
        </w:rPr>
        <w:t>年</w:t>
      </w:r>
      <w:r>
        <w:rPr>
          <w:color w:val="auto"/>
          <w:highlight w:val="auto"/>
        </w:rPr>
        <w:t>_</w:t>
      </w:r>
      <w:r>
        <w:rPr>
          <w:color w:val="auto"/>
          <w:u w:val="single"/>
          <w:highlight w:val="auto"/>
        </w:rPr>
        <w:t xml:space="preserve"> </w:t>
      </w:r>
      <w:r>
        <w:rPr>
          <w:color w:val="auto"/>
          <w:highlight w:val="auto"/>
        </w:rPr>
        <w:t>_</w:t>
      </w:r>
      <w:r>
        <w:rPr>
          <w:rFonts w:hint="eastAsia"/>
          <w:color w:val="auto"/>
          <w:highlight w:val="auto"/>
        </w:rPr>
        <w:t>月</w:t>
      </w:r>
      <w:r>
        <w:rPr>
          <w:color w:val="auto"/>
          <w:highlight w:val="auto"/>
        </w:rPr>
        <w:t>__</w:t>
      </w:r>
      <w:r>
        <w:rPr>
          <w:rFonts w:hint="eastAsia"/>
          <w:color w:val="auto"/>
          <w:highlight w:val="auto"/>
        </w:rPr>
        <w:t>日</w:t>
      </w:r>
      <w:r>
        <w:rPr>
          <w:color w:val="auto"/>
          <w:highlight w:val="auto"/>
        </w:rPr>
        <w:t>__</w:t>
      </w:r>
      <w:r>
        <w:rPr>
          <w:rFonts w:hint="eastAsia"/>
          <w:color w:val="auto"/>
          <w:highlight w:val="auto"/>
        </w:rPr>
        <w:t>时</w:t>
      </w:r>
      <w:r>
        <w:rPr>
          <w:color w:val="auto"/>
          <w:highlight w:val="auto"/>
        </w:rPr>
        <w:t>__</w:t>
      </w:r>
      <w:r>
        <w:rPr>
          <w:rFonts w:hint="eastAsia"/>
          <w:color w:val="auto"/>
          <w:highlight w:val="auto"/>
        </w:rPr>
        <w:t>分开标，此时间以前不得开封。（限</w:t>
      </w:r>
      <w:r>
        <w:rPr>
          <w:rFonts w:hint="eastAsia"/>
          <w:snapToGrid w:val="0"/>
          <w:color w:val="auto"/>
          <w:szCs w:val="21"/>
          <w:highlight w:val="auto"/>
        </w:rPr>
        <w:t>资格文件、</w:t>
      </w:r>
      <w:r>
        <w:rPr>
          <w:rFonts w:hint="eastAsia"/>
          <w:color w:val="auto"/>
          <w:highlight w:val="auto"/>
        </w:rPr>
        <w:t>商务技术文件）</w:t>
      </w:r>
      <w:r>
        <w:rPr>
          <w:color w:val="auto"/>
          <w:highlight w:val="auto"/>
        </w:rPr>
        <w:t xml:space="preserve">  __</w:t>
      </w:r>
      <w:r>
        <w:rPr>
          <w:rFonts w:hint="eastAsia"/>
          <w:color w:val="auto"/>
          <w:highlight w:val="auto"/>
        </w:rPr>
        <w:t>年</w:t>
      </w:r>
      <w:r>
        <w:rPr>
          <w:color w:val="auto"/>
          <w:highlight w:val="auto"/>
        </w:rPr>
        <w:t>___</w:t>
      </w:r>
      <w:r>
        <w:rPr>
          <w:rFonts w:hint="eastAsia"/>
          <w:color w:val="auto"/>
          <w:highlight w:val="auto"/>
        </w:rPr>
        <w:t>月</w:t>
      </w:r>
      <w:r>
        <w:rPr>
          <w:color w:val="auto"/>
          <w:highlight w:val="auto"/>
        </w:rPr>
        <w:t>___</w:t>
      </w:r>
      <w:r>
        <w:rPr>
          <w:rFonts w:hint="eastAsia"/>
          <w:color w:val="auto"/>
          <w:highlight w:val="auto"/>
        </w:rPr>
        <w:t>日</w:t>
      </w:r>
      <w:r>
        <w:rPr>
          <w:color w:val="auto"/>
          <w:highlight w:val="auto"/>
        </w:rPr>
        <w:t>__</w:t>
      </w:r>
      <w:r>
        <w:rPr>
          <w:rFonts w:hint="eastAsia"/>
          <w:color w:val="auto"/>
          <w:highlight w:val="auto"/>
        </w:rPr>
        <w:t>第二阶段开标，此时间以前不得开封。（限报价文件）”</w:t>
      </w:r>
      <w:r>
        <w:rPr>
          <w:rFonts w:hint="eastAsia"/>
          <w:snapToGrid w:val="0"/>
          <w:color w:val="auto"/>
          <w:highlight w:val="auto"/>
        </w:rPr>
        <w:t>的字样，并根据本须知前附表的规定填入开标日期和时间。</w:t>
      </w:r>
    </w:p>
    <w:p>
      <w:pPr>
        <w:pStyle w:val="28"/>
        <w:adjustRightInd w:val="0"/>
        <w:spacing w:line="360" w:lineRule="auto"/>
        <w:ind w:leftChars="200" w:left="420" w:firstLineChars="41" w:firstLine="82"/>
        <w:rPr>
          <w:snapToGrid w:val="0"/>
          <w:color w:val="auto"/>
          <w:highlight w:val="auto"/>
        </w:rPr>
      </w:pPr>
      <w:r>
        <w:rPr>
          <w:rFonts w:hint="eastAsia"/>
          <w:snapToGrid w:val="0"/>
          <w:color w:val="auto"/>
          <w:highlight w:val="auto"/>
        </w:rPr>
        <w:t>在包封外层上还应写明供应商名称与地址、邮政编码。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16.3 </w:t>
      </w:r>
      <w:r>
        <w:rPr>
          <w:rFonts w:ascii="宋体" w:hint="eastAsia"/>
          <w:snapToGrid w:val="0"/>
          <w:color w:val="auto"/>
          <w:kern w:val="0"/>
          <w:szCs w:val="21"/>
          <w:highlight w:val="auto"/>
        </w:rPr>
        <w:t>如果包封没有按上述规定密封并加写标志，采购人对误投或过早启封概不负责。对由此造成的提前开封的投标文件，采购人将予以拒绝，并退还给供应商。</w:t>
      </w:r>
    </w:p>
    <w:p>
      <w:pPr>
        <w:adjustRightInd w:val="0"/>
        <w:snapToGrid w:val="0"/>
        <w:spacing w:line="360" w:lineRule="auto"/>
        <w:ind w:firstLineChars="200" w:firstLine="420"/>
        <w:rPr>
          <w:rFonts w:ascii="宋体"/>
          <w:b/>
          <w:snapToGrid w:val="0"/>
          <w:color w:val="auto"/>
          <w:kern w:val="0"/>
          <w:szCs w:val="21"/>
          <w:highlight w:val="auto"/>
        </w:rPr>
      </w:pPr>
      <w:bookmarkStart w:id="41" w:name="_Toc240450081"/>
      <w:bookmarkStart w:id="42" w:name="_Toc251566654"/>
      <w:r>
        <w:rPr>
          <w:rFonts w:ascii="宋体"/>
          <w:b/>
          <w:snapToGrid w:val="0"/>
          <w:color w:val="auto"/>
          <w:kern w:val="0"/>
          <w:szCs w:val="21"/>
          <w:highlight w:val="auto"/>
        </w:rPr>
        <w:t>17</w:t>
      </w:r>
      <w:r>
        <w:rPr>
          <w:rFonts w:ascii="宋体" w:hint="eastAsia"/>
          <w:b/>
          <w:snapToGrid w:val="0"/>
          <w:color w:val="auto"/>
          <w:kern w:val="0"/>
          <w:szCs w:val="21"/>
          <w:highlight w:val="auto"/>
        </w:rPr>
        <w:t>．投标截止期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17.1 </w:t>
      </w:r>
      <w:r>
        <w:rPr>
          <w:rFonts w:ascii="宋体" w:hint="eastAsia"/>
          <w:snapToGrid w:val="0"/>
          <w:color w:val="auto"/>
          <w:kern w:val="0"/>
          <w:szCs w:val="21"/>
          <w:highlight w:val="auto"/>
        </w:rPr>
        <w:t>供应商应按前附表规定的日期、时间和地点递交投标文件。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17.2 </w:t>
      </w:r>
      <w:r>
        <w:rPr>
          <w:rFonts w:ascii="宋体" w:hint="eastAsia"/>
          <w:snapToGrid w:val="0"/>
          <w:color w:val="auto"/>
          <w:kern w:val="0"/>
          <w:szCs w:val="21"/>
          <w:highlight w:val="auto"/>
        </w:rPr>
        <w:t>采购人收到投标文件的时间不得迟于供应商须知前附表中规定的截止时间。</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17.3 </w:t>
      </w:r>
      <w:r>
        <w:rPr>
          <w:rFonts w:ascii="宋体" w:hint="eastAsia"/>
          <w:snapToGrid w:val="0"/>
          <w:color w:val="auto"/>
          <w:kern w:val="0"/>
          <w:szCs w:val="21"/>
          <w:highlight w:val="auto"/>
        </w:rPr>
        <w:t>采购人可以按本须知第</w:t>
      </w:r>
      <w:r>
        <w:rPr>
          <w:rFonts w:ascii="宋体"/>
          <w:snapToGrid w:val="0"/>
          <w:color w:val="auto"/>
          <w:kern w:val="0"/>
          <w:szCs w:val="21"/>
          <w:highlight w:val="auto"/>
        </w:rPr>
        <w:t>7</w:t>
      </w:r>
      <w:r>
        <w:rPr>
          <w:rFonts w:ascii="宋体" w:hint="eastAsia"/>
          <w:snapToGrid w:val="0"/>
          <w:color w:val="auto"/>
          <w:kern w:val="0"/>
          <w:szCs w:val="21"/>
          <w:highlight w:val="auto"/>
        </w:rPr>
        <w:t>条规定，通过修改采购文件适当延长投标截止日期。在此情况下，采购人与供应商受投标截止期制约的所有权利和义务均应延长至新的截止期。</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18</w:t>
      </w:r>
      <w:r>
        <w:rPr>
          <w:rFonts w:ascii="宋体" w:hint="eastAsia"/>
          <w:b/>
          <w:snapToGrid w:val="0"/>
          <w:color w:val="auto"/>
          <w:kern w:val="0"/>
          <w:szCs w:val="21"/>
          <w:highlight w:val="auto"/>
        </w:rPr>
        <w:t>．迟交的投标文件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采购人将拒绝并原封退回在本须知第</w:t>
      </w:r>
      <w:r>
        <w:rPr>
          <w:rFonts w:ascii="宋体"/>
          <w:snapToGrid w:val="0"/>
          <w:color w:val="auto"/>
          <w:kern w:val="0"/>
          <w:szCs w:val="21"/>
          <w:highlight w:val="auto"/>
        </w:rPr>
        <w:t>17</w:t>
      </w:r>
      <w:r>
        <w:rPr>
          <w:rFonts w:ascii="宋体" w:hint="eastAsia"/>
          <w:snapToGrid w:val="0"/>
          <w:color w:val="auto"/>
          <w:kern w:val="0"/>
          <w:szCs w:val="21"/>
          <w:highlight w:val="auto"/>
        </w:rPr>
        <w:t>条规定的截止期后收到的任何投标文件。</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19</w:t>
      </w:r>
      <w:r>
        <w:rPr>
          <w:rFonts w:ascii="宋体" w:hint="eastAsia"/>
          <w:b/>
          <w:snapToGrid w:val="0"/>
          <w:color w:val="auto"/>
          <w:kern w:val="0"/>
          <w:szCs w:val="21"/>
          <w:highlight w:val="auto"/>
        </w:rPr>
        <w:t>．投标文件的修改与撤回</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19.1 </w:t>
      </w:r>
      <w:r>
        <w:rPr>
          <w:rFonts w:ascii="宋体" w:hint="eastAsia"/>
          <w:snapToGrid w:val="0"/>
          <w:color w:val="auto"/>
          <w:kern w:val="0"/>
          <w:szCs w:val="21"/>
          <w:highlight w:val="auto"/>
        </w:rPr>
        <w:t>供应商在递交投标文件后，可以在规定的投标截止时间前，以书面的形式通知采购人，修改或撤回其投标文件。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19.2 </w:t>
      </w:r>
      <w:r>
        <w:rPr>
          <w:rFonts w:ascii="宋体" w:hint="eastAsia"/>
          <w:snapToGrid w:val="0"/>
          <w:color w:val="auto"/>
          <w:kern w:val="0"/>
          <w:szCs w:val="21"/>
          <w:highlight w:val="auto"/>
        </w:rPr>
        <w:t>供应商的修改或撤回通知，应按本须知第</w:t>
      </w:r>
      <w:r>
        <w:rPr>
          <w:rFonts w:ascii="宋体"/>
          <w:snapToGrid w:val="0"/>
          <w:color w:val="auto"/>
          <w:kern w:val="0"/>
          <w:szCs w:val="21"/>
          <w:highlight w:val="auto"/>
        </w:rPr>
        <w:t>16</w:t>
      </w:r>
      <w:r>
        <w:rPr>
          <w:rFonts w:ascii="宋体" w:hint="eastAsia"/>
          <w:snapToGrid w:val="0"/>
          <w:color w:val="auto"/>
          <w:kern w:val="0"/>
          <w:szCs w:val="21"/>
          <w:highlight w:val="auto"/>
        </w:rPr>
        <w:t>条规定编制、密封、标志和递交（在外层包封上标明“修改”或“撤回”字样）。修改文件同样必须在投标截止时间前送达采购人。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19.3 </w:t>
      </w:r>
      <w:r>
        <w:rPr>
          <w:rFonts w:ascii="宋体" w:hint="eastAsia"/>
          <w:snapToGrid w:val="0"/>
          <w:color w:val="auto"/>
          <w:kern w:val="0"/>
          <w:szCs w:val="21"/>
          <w:highlight w:val="auto"/>
        </w:rPr>
        <w:t>在投标截止期之后，供应商不得对其投标作任何修改。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19.4 </w:t>
      </w:r>
      <w:r>
        <w:rPr>
          <w:rFonts w:ascii="宋体" w:hint="eastAsia"/>
          <w:snapToGrid w:val="0"/>
          <w:color w:val="auto"/>
          <w:kern w:val="0"/>
          <w:szCs w:val="21"/>
          <w:highlight w:val="auto"/>
        </w:rPr>
        <w:t>从投标截止期至供应商在投标函格式中确定的投标有效期期满这段时间内，供应商不得撤回其投标。</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20</w:t>
      </w:r>
      <w:r>
        <w:rPr>
          <w:rFonts w:ascii="宋体" w:hint="eastAsia"/>
          <w:b/>
          <w:snapToGrid w:val="0"/>
          <w:color w:val="auto"/>
          <w:kern w:val="0"/>
          <w:szCs w:val="21"/>
          <w:highlight w:val="auto"/>
        </w:rPr>
        <w:t>．无效投标的认定</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实质上没有响应采购文件要求的投标将被视为无效投标。供应商不得通过修正或撤消不合要求的偏离或保留从而使其投标成为实质上响应的投标，但经评标委员会认定属于供应商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供应商修改、补正投标文件后，不影响评标委员会对其投标文件所作的评价和评分结果。</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20.1</w:t>
      </w:r>
      <w:r>
        <w:rPr>
          <w:rFonts w:ascii="宋体" w:cs="宋体" w:hint="eastAsia"/>
          <w:b/>
          <w:bCs/>
          <w:snapToGrid w:val="0"/>
          <w:color w:val="auto"/>
          <w:kern w:val="0"/>
          <w:szCs w:val="21"/>
          <w:highlight w:val="auto"/>
        </w:rPr>
        <w:t>资格审查阶段</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投标人未按照采购文件投标须知</w:t>
      </w:r>
      <w:r>
        <w:rPr>
          <w:rFonts w:ascii="宋体" w:cs="宋体"/>
          <w:snapToGrid w:val="0"/>
          <w:color w:val="auto"/>
          <w:kern w:val="0"/>
          <w:szCs w:val="21"/>
          <w:highlight w:val="auto"/>
        </w:rPr>
        <w:t>9.1</w:t>
      </w:r>
      <w:r>
        <w:rPr>
          <w:rFonts w:ascii="宋体" w:cs="宋体" w:hint="eastAsia"/>
          <w:snapToGrid w:val="0"/>
          <w:color w:val="auto"/>
          <w:kern w:val="0"/>
          <w:szCs w:val="21"/>
          <w:highlight w:val="auto"/>
        </w:rPr>
        <w:t>条要求提供与基本资格条件、特定资格条件相应的有效资格证明材料的，视为投标人不具备采购文件中规定的资格要求，其资格审查不通过。</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20.2</w:t>
      </w:r>
      <w:r>
        <w:rPr>
          <w:rFonts w:ascii="宋体" w:cs="宋体" w:hint="eastAsia"/>
          <w:b/>
          <w:bCs/>
          <w:snapToGrid w:val="0"/>
          <w:color w:val="auto"/>
          <w:kern w:val="0"/>
          <w:szCs w:val="21"/>
          <w:highlight w:val="auto"/>
        </w:rPr>
        <w:t>商务技术文件评审阶段</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评审时，对投标人的技术文件、商务资信和其他评审要求等，评标委员会将逐项进行审查、比较，对于实质性偏离或符合无效条款的，应当询问投标人，并允许投标人进行陈述申辩，但不允许其对偏离条款进行补充、修正或撤回。但经评标委员会认定属于投标人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投标人修改、补正投标文件后，不影响评标委员会对其投标文件所作的评价和评分结果。</w:t>
      </w:r>
    </w:p>
    <w:p>
      <w:pPr>
        <w:adjustRightInd w:val="0"/>
        <w:snapToGrid w:val="0"/>
        <w:spacing w:line="360" w:lineRule="auto"/>
        <w:ind w:firstLineChars="200" w:firstLine="420"/>
        <w:jc w:val="left"/>
        <w:rPr>
          <w:rFonts w:ascii="宋体" w:cs="宋体"/>
          <w:snapToGrid w:val="0"/>
          <w:color w:val="auto"/>
          <w:kern w:val="0"/>
          <w:szCs w:val="21"/>
          <w:highlight w:val="auto"/>
        </w:rPr>
      </w:pPr>
      <w:r>
        <w:rPr>
          <w:rFonts w:ascii="宋体" w:cs="宋体" w:hint="eastAsia"/>
          <w:snapToGrid w:val="0"/>
          <w:color w:val="auto"/>
          <w:kern w:val="0"/>
          <w:szCs w:val="21"/>
          <w:highlight w:val="auto"/>
        </w:rPr>
        <w:t>如发现下列情形之一的，投标文件将被视为无效投标：</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投标文件中法定代表人授权书所载内容与本项目内容有异的或者法定代表人授权书未按照采购文件要求签署、盖章的；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投标文件内容弄虚作假的；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未按采购文件中明确的要求签署、盖章的；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不响应采购文件标注“▲”条款要求的；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投标有效期、交货期（工期）、质保期等条款不能满足采购文件要求的；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未提供或未如实提供投标货物的技术参数，或者投标文件标明的商务、技术响应与事实不符或虚假投标的；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投标技术方案不明确，存在一个或一个以上备选（替代）投标人案的；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投标文件含有采购人不能接受的附加条件的；不同投标人的投标文件由同一单位或者个人编制的；不同投标人委托同一单位或者个人办理投标事宜的；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不同投标人的投标文件载明的项目管理成员或者联系人员为同一人的；不同投标人的投标文件异常一致或者投标报价呈规律性差异的；不同投标人的投标文件相互混装的；不同投标人的招标文件购买费用从同一单位或者个人的账户转出的；</w:t>
      </w:r>
    </w:p>
    <w:p>
      <w:pPr>
        <w:tabs>
          <w:tab w:val="left" w:pos="900"/>
        </w:tabs>
        <w:adjustRightInd w:val="0"/>
        <w:snapToGrid w:val="0"/>
        <w:spacing w:line="360" w:lineRule="auto"/>
        <w:ind w:left="360"/>
        <w:jc w:val="left"/>
        <w:rPr>
          <w:rFonts w:ascii="宋体" w:cs="宋体"/>
          <w:b/>
          <w:bCs/>
          <w:color w:val="auto"/>
          <w:szCs w:val="21"/>
          <w:highlight w:val="auto"/>
        </w:rPr>
      </w:pPr>
      <w:r>
        <w:rPr>
          <w:rFonts w:ascii="宋体" w:cs="宋体" w:hint="eastAsia"/>
          <w:b/>
          <w:snapToGrid w:val="0"/>
          <w:color w:val="auto"/>
          <w:kern w:val="0"/>
          <w:szCs w:val="21"/>
          <w:highlight w:val="auto"/>
        </w:rPr>
        <w:t>（10）存在法律、法规规定及采购文件规</w:t>
      </w:r>
      <w:r>
        <w:rPr>
          <w:rFonts w:ascii="宋体" w:cs="宋体" w:hint="eastAsia"/>
          <w:b/>
          <w:bCs/>
          <w:color w:val="auto"/>
          <w:szCs w:val="21"/>
          <w:highlight w:val="auto"/>
        </w:rPr>
        <w:t>定的其它无效情形的。</w:t>
      </w:r>
    </w:p>
    <w:p>
      <w:pPr>
        <w:adjustRightInd w:val="0"/>
        <w:snapToGrid w:val="0"/>
        <w:spacing w:line="360" w:lineRule="auto"/>
        <w:ind w:firstLineChars="200" w:firstLine="420"/>
        <w:jc w:val="left"/>
        <w:rPr>
          <w:rFonts w:ascii="宋体" w:cs="宋体"/>
          <w:b/>
          <w:bCs/>
          <w:snapToGrid w:val="0"/>
          <w:color w:val="auto"/>
          <w:kern w:val="0"/>
          <w:szCs w:val="21"/>
          <w:highlight w:val="auto"/>
        </w:rPr>
      </w:pPr>
      <w:r>
        <w:rPr>
          <w:rFonts w:ascii="宋体" w:cs="宋体"/>
          <w:b/>
          <w:bCs/>
          <w:snapToGrid w:val="0"/>
          <w:color w:val="auto"/>
          <w:kern w:val="0"/>
          <w:szCs w:val="21"/>
          <w:highlight w:val="auto"/>
        </w:rPr>
        <w:t>20.3</w:t>
      </w:r>
      <w:r>
        <w:rPr>
          <w:rFonts w:ascii="宋体" w:cs="宋体" w:hint="eastAsia"/>
          <w:b/>
          <w:bCs/>
          <w:snapToGrid w:val="0"/>
          <w:color w:val="auto"/>
          <w:kern w:val="0"/>
          <w:szCs w:val="21"/>
          <w:highlight w:val="auto"/>
        </w:rPr>
        <w:t>报价文件评审阶段</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snapToGrid w:val="0"/>
          <w:color w:val="auto"/>
          <w:kern w:val="0"/>
          <w:szCs w:val="21"/>
          <w:highlight w:val="auto"/>
        </w:rPr>
        <w:t>在报价评审时，如发现下列情形之一的，投标文件将被视为无效：</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开标一览表投标报价为零的（包括投标文件中标明：免费或赠予）或其报价（大写）无法按正常书写方式进行报价唱标的或无投标报价的；</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投标人提交两份或多份内容不同的报价响应文件，或在一份报价响应文件中对同一内容报有两个或多个报价，且未声明哪一个为最终报价的；</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auto"/>
          <w:szCs w:val="21"/>
          <w:highlight w:val="auto"/>
        </w:rPr>
      </w:pPr>
      <w:r>
        <w:rPr>
          <w:rFonts w:ascii="宋体" w:cs="宋体" w:hint="eastAsia"/>
          <w:b/>
          <w:bCs/>
          <w:color w:val="auto"/>
          <w:szCs w:val="21"/>
          <w:highlight w:val="auto"/>
        </w:rPr>
        <w:t>投标报价超过采购文件中规定的限价金额的；</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（4）投标文件中的投标函、开标一览表、投标报价明细表未按招标文件要求签字或盖章的；</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 xml:space="preserve">（5）不接受按招标文件规定的修正错误原则修正后的报价的； </w:t>
      </w:r>
    </w:p>
    <w:p>
      <w:pPr>
        <w:tabs>
          <w:tab w:val="left" w:pos="900"/>
          <w:tab w:val="left" w:pos="1080"/>
        </w:tabs>
        <w:adjustRightInd w:val="0"/>
        <w:snapToGrid w:val="0"/>
        <w:spacing w:line="360" w:lineRule="auto"/>
        <w:ind w:left="360"/>
        <w:jc w:val="left"/>
        <w:rPr>
          <w:rFonts w:ascii="宋体" w:cs="宋体"/>
          <w:b/>
          <w:bCs/>
          <w:color w:val="auto"/>
          <w:szCs w:val="21"/>
          <w:highlight w:val="auto"/>
        </w:rPr>
      </w:pPr>
      <w:r>
        <w:rPr>
          <w:rFonts w:ascii="宋体" w:cs="宋体" w:hint="eastAsia"/>
          <w:b/>
          <w:bCs/>
          <w:color w:val="auto"/>
          <w:szCs w:val="21"/>
          <w:highlight w:val="auto"/>
        </w:rPr>
        <w:t>（6）评标委员会认为其报价明显低于其他通过符合性审查投标人的报价，且投标人不能证明其报价合理性，有可能影响产品质量或者不能诚信履约的；</w:t>
      </w:r>
    </w:p>
    <w:p>
      <w:pPr>
        <w:tabs>
          <w:tab w:val="left" w:pos="900"/>
          <w:tab w:val="left" w:pos="1080"/>
        </w:tabs>
        <w:adjustRightInd w:val="0"/>
        <w:snapToGrid w:val="0"/>
        <w:spacing w:line="360" w:lineRule="auto"/>
        <w:ind w:left="360"/>
        <w:jc w:val="left"/>
        <w:rPr>
          <w:rFonts w:ascii="宋体" w:cs="宋体"/>
          <w:b/>
          <w:snapToGrid w:val="0"/>
          <w:color w:val="auto"/>
          <w:kern w:val="0"/>
          <w:highlight w:val="auto"/>
        </w:rPr>
      </w:pPr>
      <w:r>
        <w:rPr>
          <w:rFonts w:ascii="宋体" w:cs="宋体" w:hint="eastAsia"/>
          <w:b/>
          <w:bCs/>
          <w:color w:val="auto"/>
          <w:szCs w:val="21"/>
          <w:highlight w:val="auto"/>
        </w:rPr>
        <w:t>（7）存在法律、法规规定及采购文件规定的其它无效情形的</w:t>
      </w:r>
      <w:r>
        <w:rPr>
          <w:rFonts w:ascii="宋体" w:cs="宋体" w:hint="eastAsia"/>
          <w:b/>
          <w:snapToGrid w:val="0"/>
          <w:color w:val="auto"/>
          <w:kern w:val="0"/>
          <w:highlight w:val="auto"/>
        </w:rPr>
        <w:t>。</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43" w:name="_Toc60757525"/>
      <w:bookmarkStart w:id="44" w:name="_Toc367274981"/>
      <w:bookmarkStart w:id="45" w:name="_Toc12604"/>
      <w:r>
        <w:rPr>
          <w:rFonts w:ascii="宋体" w:eastAsia="宋体" w:hint="eastAsia"/>
          <w:snapToGrid w:val="0"/>
          <w:color w:val="auto"/>
          <w:sz w:val="21"/>
          <w:szCs w:val="21"/>
          <w:highlight w:val="auto"/>
        </w:rPr>
        <w:t>五、开标与评标</w:t>
      </w:r>
      <w:bookmarkEnd w:id="41"/>
      <w:bookmarkEnd w:id="42"/>
      <w:bookmarkEnd w:id="43"/>
      <w:bookmarkEnd w:id="44"/>
      <w:bookmarkEnd w:id="45"/>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21</w:t>
      </w:r>
      <w:r>
        <w:rPr>
          <w:rFonts w:ascii="宋体" w:hint="eastAsia"/>
          <w:b/>
          <w:snapToGrid w:val="0"/>
          <w:color w:val="auto"/>
          <w:kern w:val="0"/>
          <w:szCs w:val="21"/>
          <w:highlight w:val="auto"/>
        </w:rPr>
        <w:t>．开标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21.1 </w:t>
      </w:r>
      <w:r>
        <w:rPr>
          <w:rFonts w:ascii="宋体" w:hint="eastAsia"/>
          <w:snapToGrid w:val="0"/>
          <w:color w:val="auto"/>
          <w:kern w:val="0"/>
          <w:szCs w:val="21"/>
          <w:highlight w:val="auto"/>
        </w:rPr>
        <w:t>采购人将于前附表规定的时间和地点公开开标。若采购人按本须知第</w:t>
      </w:r>
      <w:r>
        <w:rPr>
          <w:rFonts w:ascii="宋体"/>
          <w:snapToGrid w:val="0"/>
          <w:color w:val="auto"/>
          <w:kern w:val="0"/>
          <w:szCs w:val="21"/>
          <w:highlight w:val="auto"/>
        </w:rPr>
        <w:t>7</w:t>
      </w:r>
      <w:r>
        <w:rPr>
          <w:rFonts w:ascii="宋体" w:hint="eastAsia"/>
          <w:snapToGrid w:val="0"/>
          <w:color w:val="auto"/>
          <w:kern w:val="0"/>
          <w:szCs w:val="21"/>
          <w:highlight w:val="auto"/>
        </w:rPr>
        <w:t>条规定，通过修改采购文件更改了开标时间和地点的，以后者为准。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21.2 </w:t>
      </w:r>
      <w:r>
        <w:rPr>
          <w:rFonts w:ascii="宋体" w:hint="eastAsia"/>
          <w:snapToGrid w:val="0"/>
          <w:color w:val="auto"/>
          <w:kern w:val="0"/>
          <w:szCs w:val="21"/>
          <w:highlight w:val="auto"/>
        </w:rPr>
        <w:t>开标大会邀请所有供应商代表参加</w:t>
      </w:r>
      <w:r>
        <w:rPr>
          <w:rFonts w:ascii="宋体" w:hint="eastAsia"/>
          <w:b/>
          <w:bCs/>
          <w:snapToGrid w:val="0"/>
          <w:color w:val="auto"/>
          <w:kern w:val="0"/>
          <w:szCs w:val="21"/>
          <w:highlight w:val="auto"/>
        </w:rPr>
        <w:t>（供应商可自愿到场，非强制要求到达现场）</w:t>
      </w:r>
      <w:r>
        <w:rPr>
          <w:rFonts w:ascii="宋体" w:hint="eastAsia"/>
          <w:snapToGrid w:val="0"/>
          <w:color w:val="auto"/>
          <w:kern w:val="0"/>
          <w:szCs w:val="21"/>
          <w:highlight w:val="auto"/>
        </w:rPr>
        <w:t>。供应商</w:t>
      </w:r>
      <w:r>
        <w:rPr>
          <w:rFonts w:ascii="宋体" w:hint="eastAsia"/>
          <w:snapToGrid w:val="0"/>
          <w:color w:val="auto"/>
          <w:kern w:val="0"/>
          <w:szCs w:val="21"/>
          <w:lang w:val="en-US" w:eastAsia="zh-CN"/>
          <w:highlight w:val="auto"/>
        </w:rPr>
        <w:t>可</w:t>
      </w:r>
      <w:r>
        <w:rPr>
          <w:rFonts w:ascii="宋体" w:hint="eastAsia"/>
          <w:snapToGrid w:val="0"/>
          <w:color w:val="auto"/>
          <w:kern w:val="0"/>
          <w:szCs w:val="21"/>
          <w:highlight w:val="auto"/>
        </w:rPr>
        <w:t>不派代表参加开标大会的（</w:t>
      </w:r>
      <w:r>
        <w:rPr>
          <w:rFonts w:hint="eastAsia"/>
          <w:b/>
          <w:bCs/>
          <w:color w:val="auto"/>
          <w:highlight w:val="auto"/>
        </w:rPr>
        <w:t>本项目投标文件递交允许邮寄，邮寄地址：嘉兴市秀洲区洪波路1200号万豪广场12楼1204室。杨丽莉，15068182356，（建议顺丰，</w:t>
      </w:r>
      <w:r>
        <w:rPr>
          <w:rStyle w:val="50"/>
          <w:rFonts w:hint="eastAsia"/>
          <w:b/>
          <w:bCs/>
          <w:color w:val="auto"/>
          <w:highlight w:val="auto"/>
        </w:rPr>
        <w:fldChar w:fldCharType="begin"/>
      </w:r>
      <w:r>
        <w:instrText>HYPERLINK "mailto:寄出后把邮寄单号和单位名称发到466740141@qq.com"</w:instrText>
      </w:r>
      <w:r>
        <w:rPr>
          <w:rStyle w:val="50"/>
          <w:rFonts w:hint="eastAsia"/>
          <w:b/>
          <w:bCs/>
          <w:color w:val="auto"/>
          <w:highlight w:val="auto"/>
        </w:rPr>
        <w:fldChar w:fldCharType="separate"/>
      </w:r>
      <w:r>
        <w:rPr>
          <w:rStyle w:val="50"/>
          <w:rFonts w:hint="eastAsia"/>
          <w:b/>
          <w:bCs/>
          <w:color w:val="auto"/>
          <w:highlight w:val="auto"/>
        </w:rPr>
        <w:t>寄出后把邮寄单号和单位名称发到376790573@qq.com</w:t>
      </w:r>
      <w:r>
        <w:rPr>
          <w:rStyle w:val="50"/>
          <w:rFonts w:hint="eastAsia"/>
          <w:b/>
          <w:bCs/>
          <w:color w:val="auto"/>
          <w:highlight w:val="auto"/>
        </w:rPr>
        <w:fldChar w:fldCharType="end"/>
      </w:r>
      <w:r>
        <w:rPr>
          <w:rFonts w:hint="eastAsia"/>
          <w:b/>
          <w:bCs/>
          <w:color w:val="auto"/>
          <w:highlight w:val="auto"/>
        </w:rPr>
        <w:t>的邮箱方便确认），须在投标截止时间前邮寄到位（若因邮寄时间不准确导致投标截止时间前无法送达的、邮寄导致密封性受损的责任由供应商自行承担）</w:t>
      </w:r>
      <w:r>
        <w:rPr>
          <w:rFonts w:ascii="宋体" w:hint="eastAsia"/>
          <w:snapToGrid w:val="0"/>
          <w:color w:val="auto"/>
          <w:kern w:val="0"/>
          <w:szCs w:val="21"/>
          <w:highlight w:val="auto"/>
        </w:rPr>
        <w:t>），事后不得对采购相关人员、开标过程和开标结果提出异议。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供应商如是法人代表的，只须按前款提供并出示相关证明、证件即可；如是法人代表授权一个以上代表参加投标的，应按实参加，并在相应文件上同时签署。</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21.3 </w:t>
      </w:r>
      <w:r>
        <w:rPr>
          <w:rFonts w:ascii="宋体" w:hint="eastAsia"/>
          <w:snapToGrid w:val="0"/>
          <w:color w:val="auto"/>
          <w:kern w:val="0"/>
          <w:szCs w:val="21"/>
          <w:highlight w:val="auto"/>
        </w:rPr>
        <w:t>开标程序：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本项目按照先拆封资格文件、商务技术文件、后拆封报价文件的顺序进行。具体按以下程序进行：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开标大会由采购人或采购代理机构主持，介绍开标现场的人员情况，宣读递交采购响应文件的供应商名单、开标纪律、应当回避的情形等注意事项，组织供应商签署不存在影响公平竞争的《政府采购活动现场确认声明书》</w:t>
      </w:r>
      <w:r>
        <w:rPr>
          <w:rFonts w:ascii="宋体" w:hint="eastAsia"/>
          <w:snapToGrid w:val="0"/>
          <w:color w:val="auto"/>
          <w:kern w:val="0"/>
          <w:szCs w:val="21"/>
          <w:lang w:eastAsia="zh-CN"/>
          <w:highlight w:val="auto"/>
        </w:rPr>
        <w:t>（</w:t>
      </w:r>
      <w:r>
        <w:rPr>
          <w:rFonts w:ascii="宋体" w:hint="eastAsia"/>
          <w:snapToGrid w:val="0"/>
          <w:color w:val="auto"/>
          <w:kern w:val="0"/>
          <w:szCs w:val="21"/>
          <w:lang w:val="en-US" w:eastAsia="zh-CN"/>
          <w:highlight w:val="auto"/>
        </w:rPr>
        <w:t>未签署或未到达现场的视为无异议</w:t>
      </w:r>
      <w:r>
        <w:rPr>
          <w:rFonts w:ascii="宋体" w:hint="eastAsia"/>
          <w:snapToGrid w:val="0"/>
          <w:color w:val="auto"/>
          <w:kern w:val="0"/>
          <w:szCs w:val="21"/>
          <w:lang w:eastAsia="zh-CN"/>
          <w:highlight w:val="auto"/>
        </w:rPr>
        <w:t>）</w:t>
      </w:r>
      <w:r>
        <w:rPr>
          <w:rFonts w:ascii="宋体" w:hint="eastAsia"/>
          <w:snapToGrid w:val="0"/>
          <w:color w:val="auto"/>
          <w:kern w:val="0"/>
          <w:szCs w:val="21"/>
          <w:highlight w:val="auto"/>
        </w:rPr>
        <w:t>；</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）对供应商代表或公证人员或监督人员查验采购响应文件密封情况；</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按供应商提交采购响应文件（即投标文件）的先后顺序当众拆封、清点采购响应文件（包括正本、副本）数量，将其中密封的报价文件（含开标一览表、报价明细表等，下同）现场集中封存保管等候拆封，将拆封后的资格文件、商务技术文件由现场工作人员护送至指定的评审地点，同时告知供应商代表拆封报价文件的预计时间。对不符合装订要求的采购响应文件，由现场工作人员退还供应商代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提交的采购响应文件应当将其中的报价文件单独密封，</w:t>
      </w:r>
      <w:r>
        <w:rPr>
          <w:rFonts w:ascii="宋体" w:hint="eastAsia"/>
          <w:b/>
          <w:snapToGrid w:val="0"/>
          <w:color w:val="auto"/>
          <w:kern w:val="0"/>
          <w:szCs w:val="21"/>
          <w:highlight w:val="auto"/>
        </w:rPr>
        <w:t>否则如开标时发生报价泄露的，其投标无效，供应商自行承担相关责任</w:t>
      </w:r>
      <w:r>
        <w:rPr>
          <w:rFonts w:ascii="宋体" w:hint="eastAsia"/>
          <w:snapToGrid w:val="0"/>
          <w:color w:val="auto"/>
          <w:kern w:val="0"/>
          <w:szCs w:val="21"/>
          <w:highlight w:val="auto"/>
        </w:rPr>
        <w:t>。</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商务和技术评审结束后，主持人宣告商务和技术评审无效供应商名称及理由，供应商代表可收回未拆封的报价文件并签字确认；公布经商务和技术评审符合采购需求的供应商名单，采用综合评分法的，同时公布其商务和技术得分情况。</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5</w:t>
      </w:r>
      <w:r>
        <w:rPr>
          <w:rFonts w:ascii="宋体" w:hint="eastAsia"/>
          <w:snapToGrid w:val="0"/>
          <w:color w:val="auto"/>
          <w:kern w:val="0"/>
          <w:szCs w:val="21"/>
          <w:highlight w:val="auto"/>
        </w:rPr>
        <w:t>）拆封供应商报价文件，宣读开标（报价）一览表有关内容，同时当场制作并打印开标记录表，由供应商代表、唱标人、记录人和现场监督员在开标记录表上签字确认（不予确认的应说明理由，否则视为无异议</w:t>
      </w:r>
      <w:r>
        <w:rPr>
          <w:rFonts w:ascii="宋体" w:hint="eastAsia"/>
          <w:snapToGrid w:val="0"/>
          <w:color w:val="auto"/>
          <w:kern w:val="0"/>
          <w:szCs w:val="21"/>
          <w:lang w:val="en-US" w:eastAsia="zh-CN"/>
          <w:highlight w:val="auto"/>
        </w:rPr>
        <w:t>未签署或未到达现场的视为无异议</w:t>
      </w:r>
      <w:r>
        <w:rPr>
          <w:rFonts w:ascii="宋体" w:hint="eastAsia"/>
          <w:snapToGrid w:val="0"/>
          <w:color w:val="auto"/>
          <w:kern w:val="0"/>
          <w:szCs w:val="21"/>
          <w:highlight w:val="auto"/>
        </w:rPr>
        <w:t>）。唱标结束后，现场工作人员将报价文件及开标记录表护送至指定评审地点，由评审小组对报价的合理性、准确性等进行审查核实。</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22</w:t>
      </w:r>
      <w:r>
        <w:rPr>
          <w:rFonts w:ascii="宋体" w:hint="eastAsia"/>
          <w:b/>
          <w:snapToGrid w:val="0"/>
          <w:color w:val="auto"/>
          <w:kern w:val="0"/>
          <w:szCs w:val="21"/>
          <w:highlight w:val="auto"/>
        </w:rPr>
        <w:t>．评标</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 xml:space="preserve">22.1 </w:t>
      </w:r>
      <w:r>
        <w:rPr>
          <w:rFonts w:ascii="宋体" w:hint="eastAsia"/>
          <w:b/>
          <w:snapToGrid w:val="0"/>
          <w:color w:val="auto"/>
          <w:kern w:val="0"/>
          <w:szCs w:val="21"/>
          <w:highlight w:val="auto"/>
        </w:rPr>
        <w:t>评标组织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评标工作由招标采购单位负责组织，依法组建由奇数的人员组成的评标委员会，负责对投标文件进行审查、质询、评审等。评标委员会由政府采购相关专家等组成，其中政府采购专家不得少于成员总数的三分之二。</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22.2</w:t>
      </w:r>
      <w:r>
        <w:rPr>
          <w:rFonts w:ascii="宋体" w:hint="eastAsia"/>
          <w:b/>
          <w:snapToGrid w:val="0"/>
          <w:color w:val="auto"/>
          <w:kern w:val="0"/>
          <w:szCs w:val="21"/>
          <w:highlight w:val="auto"/>
        </w:rPr>
        <w:t>评标纪律</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本次评标工作将在严格保密的情况下进行，评标委员会成员名单在定标前将保密。</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22.3</w:t>
      </w:r>
      <w:r>
        <w:rPr>
          <w:rFonts w:ascii="宋体" w:hint="eastAsia"/>
          <w:b/>
          <w:snapToGrid w:val="0"/>
          <w:color w:val="auto"/>
          <w:kern w:val="0"/>
          <w:szCs w:val="21"/>
          <w:highlight w:val="auto"/>
        </w:rPr>
        <w:t>评标办法</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采用综合评分法，详见采购文件第五部分“评标办法”。</w:t>
      </w:r>
    </w:p>
    <w:p>
      <w:pPr>
        <w:adjustRightInd w:val="0"/>
        <w:snapToGrid w:val="0"/>
        <w:spacing w:line="360" w:lineRule="auto"/>
        <w:ind w:firstLineChars="200" w:firstLine="420"/>
        <w:jc w:val="left"/>
        <w:rPr>
          <w:rFonts w:ascii="宋体"/>
          <w:b/>
          <w:snapToGrid w:val="0"/>
          <w:color w:val="auto"/>
          <w:kern w:val="0"/>
          <w:szCs w:val="21"/>
          <w:highlight w:val="auto"/>
        </w:rPr>
      </w:pPr>
      <w:r>
        <w:rPr>
          <w:rFonts w:ascii="宋体"/>
          <w:b/>
          <w:snapToGrid w:val="0"/>
          <w:color w:val="auto"/>
          <w:kern w:val="0"/>
          <w:szCs w:val="21"/>
          <w:highlight w:val="auto"/>
        </w:rPr>
        <w:t xml:space="preserve">22.4 </w:t>
      </w:r>
      <w:r>
        <w:rPr>
          <w:rFonts w:ascii="宋体" w:hint="eastAsia"/>
          <w:b/>
          <w:snapToGrid w:val="0"/>
          <w:color w:val="auto"/>
          <w:kern w:val="0"/>
          <w:szCs w:val="21"/>
          <w:highlight w:val="auto"/>
        </w:rPr>
        <w:t>评标程序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22.4.1</w:t>
      </w:r>
      <w:r>
        <w:rPr>
          <w:rFonts w:ascii="宋体" w:hint="eastAsia"/>
          <w:snapToGrid w:val="0"/>
          <w:color w:val="auto"/>
          <w:kern w:val="0"/>
          <w:szCs w:val="21"/>
          <w:highlight w:val="auto"/>
        </w:rPr>
        <w:t>投标文件初审。初审分为资格性检查和符合性检查。</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）资格性检查。依据法律法规和采购文件的规定，对投标文件中的资格证明等进行审查，以确定投标供应商是否具备投标资格。</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）符合性检查。依据采购文件的规定，从投标文件的有效性、完整性和对采购文件的响应程度进行审查，以确定是否对采购文件的实质性要求作出响应。</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22.4.2</w:t>
      </w:r>
      <w:r>
        <w:rPr>
          <w:rFonts w:ascii="宋体" w:hint="eastAsia"/>
          <w:snapToGrid w:val="0"/>
          <w:color w:val="auto"/>
          <w:kern w:val="0"/>
          <w:szCs w:val="21"/>
          <w:highlight w:val="auto"/>
        </w:rPr>
        <w:t>澄清有关问题。对投标文件中含义不明确、同类问题表述不一致或者有明显文字和计算错误的内容，评标委员会可以书面形式（应当由评标委员会专家签字）要求供应商作出必要的澄清、说明或者纠正。供应商的澄清、说明或者补正应当采用书面形式，由其授权的代表签字，并不得超出投标文件的范围或者改变投标文件的实质性内容。</w:t>
      </w:r>
    </w:p>
    <w:p>
      <w:pPr>
        <w:adjustRightInd w:val="0"/>
        <w:snapToGrid w:val="0"/>
        <w:spacing w:line="360" w:lineRule="auto"/>
        <w:ind w:firstLineChars="200" w:firstLine="420"/>
        <w:jc w:val="left"/>
        <w:rPr>
          <w:rFonts w:ascii="宋体"/>
          <w:b/>
          <w:color w:val="auto"/>
          <w:szCs w:val="21"/>
          <w:highlight w:val="auto"/>
        </w:rPr>
      </w:pPr>
      <w:r>
        <w:rPr>
          <w:rFonts w:ascii="宋体" w:hint="eastAsia"/>
          <w:b/>
          <w:color w:val="auto"/>
          <w:szCs w:val="21"/>
          <w:highlight w:val="auto"/>
        </w:rPr>
        <w:t>授权代表对澄清、说明或者补正内容未签字确认的，将自行承担由此可能导致的对其不利的评审结果，评标委员会按少数服从多数原则对相关内容进行评判。</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22.4.3</w:t>
      </w:r>
      <w:r>
        <w:rPr>
          <w:rFonts w:ascii="宋体" w:hint="eastAsia"/>
          <w:snapToGrid w:val="0"/>
          <w:color w:val="auto"/>
          <w:kern w:val="0"/>
          <w:szCs w:val="21"/>
          <w:highlight w:val="auto"/>
        </w:rPr>
        <w:t>比较与评价。按采购文件中规定的评标方法和标准，对资格性检查和符合性检查合格的投标文件进行商务和技术评估，综合比较与评价。</w:t>
      </w:r>
    </w:p>
    <w:p>
      <w:pPr>
        <w:spacing w:line="360" w:lineRule="auto"/>
        <w:ind w:firstLineChars="200" w:firstLine="420"/>
        <w:rPr>
          <w:rFonts w:ascii="宋体" w:eastAsia="宋体" w:cs="Times New Roman" w:hint="eastAsia"/>
          <w:snapToGrid w:val="0"/>
          <w:color w:val="auto"/>
          <w:kern w:val="0"/>
          <w:szCs w:val="21"/>
          <w:highlight w:val="auto"/>
        </w:rPr>
      </w:pPr>
      <w:r>
        <w:rPr>
          <w:rFonts w:ascii="宋体"/>
          <w:snapToGrid w:val="0"/>
          <w:color w:val="auto"/>
          <w:kern w:val="0"/>
          <w:szCs w:val="21"/>
          <w:highlight w:val="auto"/>
        </w:rPr>
        <w:t>22.4.4</w:t>
      </w:r>
      <w:r>
        <w:rPr>
          <w:rFonts w:ascii="宋体" w:hint="eastAsia"/>
          <w:snapToGrid w:val="0"/>
          <w:color w:val="auto"/>
          <w:kern w:val="0"/>
          <w:szCs w:val="21"/>
          <w:highlight w:val="auto"/>
        </w:rPr>
        <w:t>推荐中标候选供应商名单（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第一的中标候选人。多家投标人提供相同品牌产品（单一产品采购项目中的该产品或者非单一产品采购项目的核心产品）且通过资格审查、符合性审查的不同投标人参加同一合同项下</w:t>
      </w:r>
      <w:r>
        <w:rPr>
          <w:rFonts w:ascii="宋体" w:eastAsia="宋体" w:cs="Times New Roman" w:hint="eastAsia"/>
          <w:snapToGrid w:val="0"/>
          <w:color w:val="auto"/>
          <w:kern w:val="0"/>
          <w:szCs w:val="21"/>
          <w:highlight w:val="auto"/>
        </w:rPr>
        <w:t>投标的，按一家投标人计算，评审后得分最高的同品牌投标人获得中标人推荐资格；评审得分相同的，采取随机抽取方式确定，其他同品牌投标人不作为中标候选人。）。</w:t>
      </w:r>
    </w:p>
    <w:p>
      <w:pPr>
        <w:spacing w:line="360" w:lineRule="auto"/>
        <w:ind w:firstLineChars="200" w:firstLine="420"/>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22.4.5编写评标报告。</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23</w:t>
      </w:r>
      <w:r>
        <w:rPr>
          <w:rFonts w:ascii="宋体" w:hint="eastAsia"/>
          <w:b/>
          <w:snapToGrid w:val="0"/>
          <w:color w:val="auto"/>
          <w:kern w:val="0"/>
          <w:szCs w:val="21"/>
          <w:highlight w:val="auto"/>
        </w:rPr>
        <w:t>．废标</w:t>
      </w:r>
    </w:p>
    <w:p>
      <w:pPr>
        <w:adjustRightInd w:val="0"/>
        <w:snapToGrid w:val="0"/>
        <w:spacing w:line="360" w:lineRule="auto"/>
        <w:ind w:firstLineChars="200" w:firstLine="420"/>
        <w:jc w:val="left"/>
        <w:rPr>
          <w:rFonts w:ascii="宋体"/>
          <w:snapToGrid w:val="0"/>
          <w:color w:val="auto"/>
          <w:kern w:val="0"/>
          <w:szCs w:val="21"/>
          <w:highlight w:val="auto"/>
        </w:rPr>
      </w:pPr>
      <w:bookmarkStart w:id="46" w:name="_Toc240450082"/>
      <w:bookmarkStart w:id="47" w:name="_Toc251566655"/>
      <w:r>
        <w:rPr>
          <w:rFonts w:ascii="宋体"/>
          <w:snapToGrid w:val="0"/>
          <w:color w:val="auto"/>
          <w:kern w:val="0"/>
          <w:szCs w:val="21"/>
          <w:highlight w:val="auto"/>
        </w:rPr>
        <w:t>23.1</w:t>
      </w:r>
      <w:r>
        <w:rPr>
          <w:rFonts w:ascii="宋体" w:hint="eastAsia"/>
          <w:snapToGrid w:val="0"/>
          <w:color w:val="auto"/>
          <w:kern w:val="0"/>
          <w:szCs w:val="21"/>
          <w:highlight w:val="auto"/>
        </w:rPr>
        <w:t>根据《中华人民共和国政府采购法》，出现下列情形之一的应予以废标：</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1</w:t>
      </w:r>
      <w:r>
        <w:rPr>
          <w:rFonts w:ascii="宋体" w:hint="eastAsia"/>
          <w:snapToGrid w:val="0"/>
          <w:color w:val="auto"/>
          <w:kern w:val="0"/>
          <w:szCs w:val="21"/>
          <w:highlight w:val="auto"/>
        </w:rPr>
        <w:t>）符合专业条件的供应商或者对采购文件作实质响应的供应商不足三家的；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2</w:t>
      </w:r>
      <w:r>
        <w:rPr>
          <w:rFonts w:ascii="宋体" w:hint="eastAsia"/>
          <w:snapToGrid w:val="0"/>
          <w:color w:val="auto"/>
          <w:kern w:val="0"/>
          <w:szCs w:val="21"/>
          <w:highlight w:val="auto"/>
        </w:rPr>
        <w:t>）出现影响采购公正的违法、违规行为的；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3</w:t>
      </w:r>
      <w:r>
        <w:rPr>
          <w:rFonts w:ascii="宋体" w:hint="eastAsia"/>
          <w:snapToGrid w:val="0"/>
          <w:color w:val="auto"/>
          <w:kern w:val="0"/>
          <w:szCs w:val="21"/>
          <w:highlight w:val="auto"/>
        </w:rPr>
        <w:t>）供应商的报价均超过了采购预算，采购人不能支付的；</w:t>
      </w:r>
      <w:r>
        <w:rPr>
          <w:rFonts w:ascii="宋体"/>
          <w:snapToGrid w:val="0"/>
          <w:color w:val="auto"/>
          <w:kern w:val="0"/>
          <w:szCs w:val="21"/>
          <w:highlight w:val="auto"/>
        </w:rPr>
        <w:t xml:space="preserve"> </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　　（</w:t>
      </w:r>
      <w:r>
        <w:rPr>
          <w:rFonts w:ascii="宋体"/>
          <w:snapToGrid w:val="0"/>
          <w:color w:val="auto"/>
          <w:kern w:val="0"/>
          <w:szCs w:val="21"/>
          <w:highlight w:val="auto"/>
        </w:rPr>
        <w:t>4</w:t>
      </w:r>
      <w:r>
        <w:rPr>
          <w:rFonts w:ascii="宋体" w:hint="eastAsia"/>
          <w:snapToGrid w:val="0"/>
          <w:color w:val="auto"/>
          <w:kern w:val="0"/>
          <w:szCs w:val="21"/>
          <w:highlight w:val="auto"/>
        </w:rPr>
        <w:t>）因重大变故，采购任务取消的。</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23.2 </w:t>
      </w:r>
      <w:r>
        <w:rPr>
          <w:rFonts w:ascii="宋体" w:hint="eastAsia"/>
          <w:snapToGrid w:val="0"/>
          <w:color w:val="auto"/>
          <w:kern w:val="0"/>
          <w:szCs w:val="21"/>
          <w:highlight w:val="auto"/>
        </w:rPr>
        <w:t>废标后，采购人应当重新组织招标；或者经主管部门批准，采取其他方式组织采购。</w:t>
      </w:r>
    </w:p>
    <w:p>
      <w:pPr>
        <w:pStyle w:val="2"/>
        <w:numPr>
          <w:ilvl w:val="0"/>
          <w:numId w:val="0"/>
        </w:numPr>
        <w:tabs>
          <w:tab w:val="clear" w:pos="425"/>
        </w:tabs>
        <w:snapToGrid w:val="0"/>
        <w:spacing w:before="0" w:after="0" w:line="360" w:lineRule="auto"/>
        <w:ind w:left="567"/>
        <w:rPr>
          <w:rFonts w:ascii="宋体" w:eastAsia="宋体"/>
          <w:snapToGrid w:val="0"/>
          <w:color w:val="auto"/>
          <w:sz w:val="21"/>
          <w:szCs w:val="21"/>
          <w:highlight w:val="auto"/>
        </w:rPr>
      </w:pPr>
      <w:bookmarkStart w:id="48" w:name="_Toc60757526"/>
      <w:bookmarkStart w:id="49" w:name="_Toc367274982"/>
      <w:bookmarkStart w:id="50" w:name="_Toc26460"/>
      <w:bookmarkStart w:id="51" w:name="_Toc294777236"/>
      <w:r>
        <w:rPr>
          <w:rFonts w:ascii="宋体" w:eastAsia="宋体" w:hint="eastAsia"/>
          <w:snapToGrid w:val="0"/>
          <w:color w:val="auto"/>
          <w:sz w:val="21"/>
          <w:szCs w:val="21"/>
          <w:highlight w:val="auto"/>
        </w:rPr>
        <w:t>六、确定中标人及授予合同</w:t>
      </w:r>
      <w:bookmarkEnd w:id="46"/>
      <w:bookmarkEnd w:id="47"/>
      <w:bookmarkEnd w:id="48"/>
      <w:bookmarkEnd w:id="49"/>
      <w:bookmarkEnd w:id="50"/>
      <w:bookmarkEnd w:id="51"/>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24</w:t>
      </w:r>
      <w:r>
        <w:rPr>
          <w:rFonts w:ascii="宋体" w:hint="eastAsia"/>
          <w:b/>
          <w:snapToGrid w:val="0"/>
          <w:color w:val="auto"/>
          <w:kern w:val="0"/>
          <w:szCs w:val="21"/>
          <w:highlight w:val="auto"/>
        </w:rPr>
        <w:t>．中标人的确定</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24.1 </w:t>
      </w:r>
      <w:r>
        <w:rPr>
          <w:rFonts w:ascii="宋体" w:hint="eastAsia"/>
          <w:snapToGrid w:val="0"/>
          <w:color w:val="auto"/>
          <w:kern w:val="0"/>
          <w:szCs w:val="21"/>
          <w:highlight w:val="auto"/>
        </w:rPr>
        <w:t>采购代理机构应当自评审结束之日起</w:t>
      </w:r>
      <w:r>
        <w:rPr>
          <w:rFonts w:ascii="宋体"/>
          <w:snapToGrid w:val="0"/>
          <w:color w:val="auto"/>
          <w:kern w:val="0"/>
          <w:szCs w:val="21"/>
          <w:highlight w:val="auto"/>
        </w:rPr>
        <w:t>2</w:t>
      </w:r>
      <w:r>
        <w:rPr>
          <w:rFonts w:ascii="宋体" w:hint="eastAsia"/>
          <w:snapToGrid w:val="0"/>
          <w:color w:val="auto"/>
          <w:kern w:val="0"/>
          <w:szCs w:val="21"/>
          <w:highlight w:val="auto"/>
        </w:rPr>
        <w:t>个工作日内将评审报告送交采购人。采购人应当自收到评审报告之日起</w:t>
      </w:r>
      <w:r>
        <w:rPr>
          <w:rFonts w:ascii="宋体"/>
          <w:snapToGrid w:val="0"/>
          <w:color w:val="auto"/>
          <w:kern w:val="0"/>
          <w:szCs w:val="21"/>
          <w:highlight w:val="auto"/>
        </w:rPr>
        <w:t>5</w:t>
      </w:r>
      <w:r>
        <w:rPr>
          <w:rFonts w:ascii="宋体" w:hint="eastAsia"/>
          <w:snapToGrid w:val="0"/>
          <w:color w:val="auto"/>
          <w:kern w:val="0"/>
          <w:szCs w:val="21"/>
          <w:highlight w:val="auto"/>
        </w:rPr>
        <w:t>个工作日内在评审报告推荐的中标或者成交候选人中按顺序确定中标或者成交供应商。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采购人或者采购代理机构应当自中标、成交供应商确定之日起</w:t>
      </w:r>
      <w:r>
        <w:rPr>
          <w:rFonts w:ascii="宋体"/>
          <w:snapToGrid w:val="0"/>
          <w:color w:val="auto"/>
          <w:kern w:val="0"/>
          <w:szCs w:val="21"/>
          <w:highlight w:val="auto"/>
        </w:rPr>
        <w:t>2</w:t>
      </w:r>
      <w:r>
        <w:rPr>
          <w:rFonts w:ascii="宋体" w:hint="eastAsia"/>
          <w:snapToGrid w:val="0"/>
          <w:color w:val="auto"/>
          <w:kern w:val="0"/>
          <w:szCs w:val="21"/>
          <w:highlight w:val="auto"/>
        </w:rPr>
        <w:t>个工作日内，发出中标、成交通知书，并将在发布招标公告的同一网站公告中标、成交结果，采购文件随中标结果同时公告。</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24.2 </w:t>
      </w:r>
      <w:r>
        <w:rPr>
          <w:rFonts w:ascii="宋体" w:hint="eastAsia"/>
          <w:snapToGrid w:val="0"/>
          <w:color w:val="auto"/>
          <w:kern w:val="0"/>
          <w:szCs w:val="21"/>
          <w:highlight w:val="auto"/>
        </w:rPr>
        <w:t>除国务院财政部门规定的情形外，采购人、采购代理机构不得以任何理由组织重新评审。采购人、采购代理机构按照国务院财政部门的规定组织重新评审的，应当书面报告本级人民政府财政部门。</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24.3 </w:t>
      </w:r>
      <w:r>
        <w:rPr>
          <w:rFonts w:ascii="宋体" w:hint="eastAsia"/>
          <w:snapToGrid w:val="0"/>
          <w:color w:val="auto"/>
          <w:kern w:val="0"/>
          <w:szCs w:val="21"/>
          <w:highlight w:val="auto"/>
        </w:rPr>
        <w:t>在采购机构发出中标通知书前，预中标人有违反有关法律法规和本项目要求行为的，则取消其预中标资格，并根据评标委员会推荐的中标候选人先后顺序，将下一顺序单位作为预中标公示单位，或由采购机构组织评标委员会复议后提出重新组织采购等建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24.4 </w:t>
      </w:r>
      <w:r>
        <w:rPr>
          <w:rFonts w:ascii="宋体" w:hint="eastAsia"/>
          <w:snapToGrid w:val="0"/>
          <w:color w:val="auto"/>
          <w:kern w:val="0"/>
          <w:szCs w:val="21"/>
          <w:highlight w:val="auto"/>
        </w:rPr>
        <w:t>供应商全部接受合同条件并签订合同后，中标通知书亦成为合同的组成部分。</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24.5 </w:t>
      </w:r>
      <w:r>
        <w:rPr>
          <w:rFonts w:ascii="宋体" w:hint="eastAsia"/>
          <w:snapToGrid w:val="0"/>
          <w:color w:val="auto"/>
          <w:kern w:val="0"/>
          <w:szCs w:val="21"/>
          <w:highlight w:val="auto"/>
        </w:rPr>
        <w:t>如中标人拒绝承担中标的项目，或提出采购机构不能接受的条件，致使合同无法签订，采购机构将取消其中标资格，并根据评标委员会推荐的中标候选人先后顺序，将下一顺序单位作为预中标公示单位，或由采购机构组织评标委员会复议后提出重新组织采购等建议。</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25</w:t>
      </w:r>
      <w:r>
        <w:rPr>
          <w:rFonts w:ascii="宋体" w:hint="eastAsia"/>
          <w:b/>
          <w:snapToGrid w:val="0"/>
          <w:color w:val="auto"/>
          <w:kern w:val="0"/>
          <w:szCs w:val="21"/>
          <w:highlight w:val="auto"/>
        </w:rPr>
        <w:t>．合同授予</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25.1 </w:t>
      </w:r>
      <w:r>
        <w:rPr>
          <w:rFonts w:ascii="宋体" w:hint="eastAsia"/>
          <w:snapToGrid w:val="0"/>
          <w:color w:val="auto"/>
          <w:kern w:val="0"/>
          <w:szCs w:val="21"/>
          <w:highlight w:val="auto"/>
        </w:rPr>
        <w:t>本项目的合同将授予按本须知第</w:t>
      </w:r>
      <w:r>
        <w:rPr>
          <w:rFonts w:ascii="宋体"/>
          <w:snapToGrid w:val="0"/>
          <w:color w:val="auto"/>
          <w:kern w:val="0"/>
          <w:szCs w:val="21"/>
          <w:highlight w:val="auto"/>
        </w:rPr>
        <w:t>24.1</w:t>
      </w:r>
      <w:r>
        <w:rPr>
          <w:rFonts w:ascii="宋体" w:hint="eastAsia"/>
          <w:snapToGrid w:val="0"/>
          <w:color w:val="auto"/>
          <w:kern w:val="0"/>
          <w:szCs w:val="21"/>
          <w:highlight w:val="auto"/>
        </w:rPr>
        <w:t>款所确定的中标人。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25.2 </w:t>
      </w:r>
      <w:r>
        <w:rPr>
          <w:rFonts w:ascii="宋体" w:hint="eastAsia"/>
          <w:snapToGrid w:val="0"/>
          <w:color w:val="auto"/>
          <w:kern w:val="0"/>
          <w:szCs w:val="21"/>
          <w:highlight w:val="auto"/>
        </w:rPr>
        <w:t>中标人因不可抗力或者自身原因不能履行合同的，采购人可以与排位在中标人之后的第一位的中标候选人签订合同，以此类推。推荐中标候选人均放弃中标的，依法重新组织招标或经批准按其他方式执行。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25.3</w:t>
      </w:r>
      <w:r>
        <w:rPr>
          <w:rFonts w:ascii="宋体" w:hint="eastAsia"/>
          <w:snapToGrid w:val="0"/>
          <w:color w:val="auto"/>
          <w:kern w:val="0"/>
          <w:szCs w:val="21"/>
          <w:highlight w:val="auto"/>
        </w:rPr>
        <w:t>采购人在授予合同时有权对招标的数量和服务予以增加或减少，但不得对单价或其他的条款和条件做任何改变。</w:t>
      </w:r>
    </w:p>
    <w:p>
      <w:pPr>
        <w:adjustRightInd w:val="0"/>
        <w:snapToGrid w:val="0"/>
        <w:spacing w:line="360" w:lineRule="auto"/>
        <w:rPr>
          <w:rFonts w:ascii="宋体"/>
          <w:b/>
          <w:snapToGrid w:val="0"/>
          <w:color w:val="auto"/>
          <w:kern w:val="0"/>
          <w:szCs w:val="21"/>
          <w:highlight w:val="auto"/>
        </w:rPr>
      </w:pPr>
      <w:r>
        <w:rPr>
          <w:rFonts w:ascii="宋体"/>
          <w:b/>
          <w:snapToGrid w:val="0"/>
          <w:color w:val="auto"/>
          <w:kern w:val="0"/>
          <w:szCs w:val="21"/>
          <w:highlight w:val="auto"/>
        </w:rPr>
        <w:t xml:space="preserve">    26</w:t>
      </w:r>
      <w:r>
        <w:rPr>
          <w:rFonts w:ascii="宋体" w:hint="eastAsia"/>
          <w:b/>
          <w:snapToGrid w:val="0"/>
          <w:color w:val="auto"/>
          <w:kern w:val="0"/>
          <w:szCs w:val="21"/>
          <w:highlight w:val="auto"/>
        </w:rPr>
        <w:t>．签订合同</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26.1 </w:t>
      </w:r>
      <w:r>
        <w:rPr>
          <w:rFonts w:ascii="宋体" w:hint="eastAsia"/>
          <w:snapToGrid w:val="0"/>
          <w:color w:val="auto"/>
          <w:kern w:val="0"/>
          <w:szCs w:val="21"/>
          <w:highlight w:val="auto"/>
        </w:rPr>
        <w:t>中标人应按中标通知书规定的时间与采购人签订合同，并提交履约保证金。中标人在领取中标通知书时须向采购人提供一份关于本项目在实施过程中的相关人员的通讯录作为合同附件。</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26.2 </w:t>
      </w:r>
      <w:r>
        <w:rPr>
          <w:rFonts w:ascii="宋体" w:hint="eastAsia"/>
          <w:snapToGrid w:val="0"/>
          <w:color w:val="auto"/>
          <w:kern w:val="0"/>
          <w:szCs w:val="21"/>
          <w:highlight w:val="auto"/>
        </w:rPr>
        <w:t>中标人如不遵守采购文件或投标文件各项条款的邀约与要约，或在接到中标通知书后借故拖延，拒签合同的，采购人将依据国家和采购文件有关规定予以相应处罚。给采购人造成的损失的还应当予以赔偿，采购人可根据</w:t>
      </w:r>
      <w:r>
        <w:rPr>
          <w:rFonts w:ascii="宋体"/>
          <w:snapToGrid w:val="0"/>
          <w:color w:val="auto"/>
          <w:kern w:val="0"/>
          <w:szCs w:val="21"/>
          <w:highlight w:val="auto"/>
        </w:rPr>
        <w:t>25.2</w:t>
      </w:r>
      <w:r>
        <w:rPr>
          <w:rFonts w:ascii="宋体" w:hint="eastAsia"/>
          <w:snapToGrid w:val="0"/>
          <w:color w:val="auto"/>
          <w:kern w:val="0"/>
          <w:szCs w:val="21"/>
          <w:highlight w:val="auto"/>
        </w:rPr>
        <w:t>的原则另行选择中标人；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 26.3 </w:t>
      </w:r>
      <w:r>
        <w:rPr>
          <w:rFonts w:ascii="宋体" w:hint="eastAsia"/>
          <w:snapToGrid w:val="0"/>
          <w:color w:val="auto"/>
          <w:kern w:val="0"/>
          <w:szCs w:val="21"/>
          <w:highlight w:val="auto"/>
        </w:rPr>
        <w:t>采购文件、中标人的投标文件及投标修改文件、评标过程中有关澄清文件及经供应商法定代表人或授权代表签字确认的询标回复和承诺及中标通知书均作为合同组成部分。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27</w:t>
      </w:r>
      <w:r>
        <w:rPr>
          <w:rFonts w:ascii="宋体" w:hint="eastAsia"/>
          <w:b/>
          <w:snapToGrid w:val="0"/>
          <w:color w:val="auto"/>
          <w:kern w:val="0"/>
          <w:szCs w:val="21"/>
          <w:highlight w:val="auto"/>
        </w:rPr>
        <w:t>．履约保证</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27.1</w:t>
      </w:r>
      <w:r>
        <w:rPr>
          <w:rFonts w:ascii="宋体" w:hint="eastAsia"/>
          <w:snapToGrid w:val="0"/>
          <w:color w:val="auto"/>
          <w:kern w:val="0"/>
          <w:szCs w:val="21"/>
          <w:highlight w:val="auto"/>
        </w:rPr>
        <w:t>履约保证金在合同部分约定。履约保证金以现金支票或转账支票或电汇或银行汇票（最终由采购人确定）形式支付。</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 xml:space="preserve">27.2 </w:t>
      </w:r>
      <w:r>
        <w:rPr>
          <w:rFonts w:ascii="宋体" w:hint="eastAsia"/>
          <w:snapToGrid w:val="0"/>
          <w:color w:val="auto"/>
          <w:kern w:val="0"/>
          <w:szCs w:val="21"/>
          <w:highlight w:val="auto"/>
        </w:rPr>
        <w:t>如果中标人没有按照上述第</w:t>
      </w:r>
      <w:r>
        <w:rPr>
          <w:rFonts w:ascii="宋体"/>
          <w:snapToGrid w:val="0"/>
          <w:color w:val="auto"/>
          <w:kern w:val="0"/>
          <w:szCs w:val="21"/>
          <w:highlight w:val="auto"/>
        </w:rPr>
        <w:t>26</w:t>
      </w:r>
      <w:r>
        <w:rPr>
          <w:rFonts w:ascii="宋体" w:hint="eastAsia"/>
          <w:snapToGrid w:val="0"/>
          <w:color w:val="auto"/>
          <w:kern w:val="0"/>
          <w:szCs w:val="21"/>
          <w:highlight w:val="auto"/>
        </w:rPr>
        <w:t>或</w:t>
      </w:r>
      <w:r>
        <w:rPr>
          <w:rFonts w:ascii="宋体"/>
          <w:snapToGrid w:val="0"/>
          <w:color w:val="auto"/>
          <w:kern w:val="0"/>
          <w:szCs w:val="21"/>
          <w:highlight w:val="auto"/>
        </w:rPr>
        <w:t>27.1</w:t>
      </w:r>
      <w:r>
        <w:rPr>
          <w:rFonts w:ascii="宋体" w:hint="eastAsia"/>
          <w:snapToGrid w:val="0"/>
          <w:color w:val="auto"/>
          <w:kern w:val="0"/>
          <w:szCs w:val="21"/>
          <w:highlight w:val="auto"/>
        </w:rPr>
        <w:t>条规定执行，采购人将有充分理由取消该中标决定。在此情况下，采购人可将合同标授予下一个中标候选人。</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28.</w:t>
      </w:r>
      <w:r>
        <w:rPr>
          <w:rFonts w:ascii="宋体" w:hint="eastAsia"/>
          <w:b/>
          <w:snapToGrid w:val="0"/>
          <w:color w:val="auto"/>
          <w:kern w:val="0"/>
          <w:szCs w:val="21"/>
          <w:highlight w:val="auto"/>
        </w:rPr>
        <w:t>招标代理服务费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本项目的招标代理服务费由中标人支付，详见前附表。</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w:t>
      </w:r>
      <w:r>
        <w:rPr>
          <w:rFonts w:ascii="宋体" w:hint="eastAsia"/>
          <w:b/>
          <w:snapToGrid w:val="0"/>
          <w:color w:val="auto"/>
          <w:kern w:val="0"/>
          <w:szCs w:val="21"/>
          <w:highlight w:val="auto"/>
        </w:rPr>
        <w:t>质疑与投诉</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根据《中华人民共和国政府采购法》、《财政部关于加强政府采购供应商投诉受理审查工作的通知》</w:t>
      </w:r>
      <w:r>
        <w:rPr>
          <w:rFonts w:ascii="宋体"/>
          <w:snapToGrid w:val="0"/>
          <w:color w:val="auto"/>
          <w:kern w:val="0"/>
          <w:szCs w:val="21"/>
          <w:highlight w:val="auto"/>
        </w:rPr>
        <w:t>(</w:t>
      </w:r>
      <w:r>
        <w:rPr>
          <w:rFonts w:ascii="宋体" w:hint="eastAsia"/>
          <w:snapToGrid w:val="0"/>
          <w:color w:val="auto"/>
          <w:kern w:val="0"/>
          <w:szCs w:val="21"/>
          <w:highlight w:val="auto"/>
        </w:rPr>
        <w:t>财库〔</w:t>
      </w:r>
      <w:r>
        <w:rPr>
          <w:rFonts w:ascii="宋体"/>
          <w:snapToGrid w:val="0"/>
          <w:color w:val="auto"/>
          <w:kern w:val="0"/>
          <w:szCs w:val="21"/>
          <w:highlight w:val="auto"/>
        </w:rPr>
        <w:t>2007</w:t>
      </w: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号</w:t>
      </w:r>
      <w:r>
        <w:rPr>
          <w:rFonts w:ascii="宋体"/>
          <w:snapToGrid w:val="0"/>
          <w:color w:val="auto"/>
          <w:kern w:val="0"/>
          <w:szCs w:val="21"/>
          <w:highlight w:val="auto"/>
        </w:rPr>
        <w:t>)</w:t>
      </w:r>
      <w:r>
        <w:rPr>
          <w:rFonts w:ascii="宋体" w:hint="eastAsia"/>
          <w:snapToGrid w:val="0"/>
          <w:color w:val="auto"/>
          <w:kern w:val="0"/>
          <w:szCs w:val="21"/>
          <w:highlight w:val="auto"/>
        </w:rPr>
        <w:t>的规定，政府采购供应商（供应商，下同）可以依法提起质疑和投诉。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29.1</w:t>
      </w:r>
      <w:r>
        <w:rPr>
          <w:rFonts w:ascii="宋体" w:hint="eastAsia"/>
          <w:b/>
          <w:snapToGrid w:val="0"/>
          <w:color w:val="auto"/>
          <w:kern w:val="0"/>
          <w:szCs w:val="21"/>
          <w:highlight w:val="auto"/>
        </w:rPr>
        <w:t>供应商询问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供应商对政府采购活动事项有疑问的，可以向采购机构提出询问，采购人或者采购代理机构应当在</w:t>
      </w:r>
      <w:r>
        <w:rPr>
          <w:rFonts w:ascii="宋体"/>
          <w:snapToGrid w:val="0"/>
          <w:color w:val="auto"/>
          <w:kern w:val="0"/>
          <w:szCs w:val="21"/>
          <w:highlight w:val="auto"/>
        </w:rPr>
        <w:t>3</w:t>
      </w:r>
      <w:r>
        <w:rPr>
          <w:rFonts w:ascii="宋体" w:hint="eastAsia"/>
          <w:snapToGrid w:val="0"/>
          <w:color w:val="auto"/>
          <w:kern w:val="0"/>
          <w:szCs w:val="21"/>
          <w:highlight w:val="auto"/>
        </w:rPr>
        <w:t>个工作日内对供应商依法提出的询问作出答复，但答复的内容不得涉及商业秘密。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29.2</w:t>
      </w:r>
      <w:r>
        <w:rPr>
          <w:rFonts w:ascii="宋体" w:hint="eastAsia"/>
          <w:b/>
          <w:snapToGrid w:val="0"/>
          <w:color w:val="auto"/>
          <w:kern w:val="0"/>
          <w:szCs w:val="21"/>
          <w:highlight w:val="auto"/>
        </w:rPr>
        <w:t>供应商质疑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29.2.1</w:t>
      </w:r>
      <w:r>
        <w:rPr>
          <w:rFonts w:ascii="宋体" w:hint="eastAsia"/>
          <w:snapToGrid w:val="0"/>
          <w:color w:val="auto"/>
          <w:kern w:val="0"/>
          <w:szCs w:val="21"/>
          <w:highlight w:val="auto"/>
        </w:rPr>
        <w:t>供应商认为采购文件、采购过程和中标、成交结果使自己的权益受到损害的，可以在知道或者应知其权益受到损害之日起七个工作日内，以书面形式向采购机构提出质疑。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）供应商如认为招标公告信息使自身的合法权益受到损害的，应于自招标公告发布之日起七个工作日内以书面形式向采购机构提出质疑；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供应商如对可以质疑的采购文件提出质疑的，应于收到采购文件之日或者采购文件公告期限届满之日起七个工作日内以书面形式向采购机构提出质疑（采购文件领取截止时间之后获取的，应于自采购文件领取截止时间之日起七个工作日内以书面形式向采购机构提出）；</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）供应商如对采购过程提出质疑的，应于各采购程序环节结束之日七个工作日内以书面形式向采购机构提出质疑。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）供应商如对中标或者成交结果提出质疑的，应为中标或者成交结果公告期限届满之日起七个工作日内以书面形式向采购机构提出质疑。</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29.2.2</w:t>
      </w:r>
      <w:r>
        <w:rPr>
          <w:rFonts w:ascii="宋体" w:hint="eastAsia"/>
          <w:snapToGrid w:val="0"/>
          <w:color w:val="auto"/>
          <w:kern w:val="0"/>
          <w:szCs w:val="21"/>
          <w:highlight w:val="auto"/>
        </w:rPr>
        <w:t>供应商提交的质疑书需一式三份，由法定代表人签字（或盖章）并加盖单位公章。质疑书至少应包括下列主要内容：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1</w:t>
      </w:r>
      <w:r>
        <w:rPr>
          <w:rFonts w:ascii="宋体" w:hint="eastAsia"/>
          <w:snapToGrid w:val="0"/>
          <w:color w:val="auto"/>
          <w:kern w:val="0"/>
          <w:szCs w:val="21"/>
          <w:highlight w:val="auto"/>
        </w:rPr>
        <w:t>）质疑人的名称、地址、邮政编码、联系人、联系电话，以及被质疑人名称及联系方式；</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2</w:t>
      </w:r>
      <w:r>
        <w:rPr>
          <w:rFonts w:ascii="宋体" w:hint="eastAsia"/>
          <w:snapToGrid w:val="0"/>
          <w:color w:val="auto"/>
          <w:kern w:val="0"/>
          <w:szCs w:val="21"/>
          <w:highlight w:val="auto"/>
        </w:rPr>
        <w:t>）被质疑采购项目名称、编号及采购内容；</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3</w:t>
      </w:r>
      <w:r>
        <w:rPr>
          <w:rFonts w:ascii="宋体" w:hint="eastAsia"/>
          <w:snapToGrid w:val="0"/>
          <w:color w:val="auto"/>
          <w:kern w:val="0"/>
          <w:szCs w:val="21"/>
          <w:highlight w:val="auto"/>
        </w:rPr>
        <w:t>）具体的质疑事项及事实依据；</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4</w:t>
      </w:r>
      <w:r>
        <w:rPr>
          <w:rFonts w:ascii="宋体" w:hint="eastAsia"/>
          <w:snapToGrid w:val="0"/>
          <w:color w:val="auto"/>
          <w:kern w:val="0"/>
          <w:szCs w:val="21"/>
          <w:highlight w:val="auto"/>
        </w:rPr>
        <w:t>）认为自己合法权益受到损害或可能受到损害的相关证据材料；</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hint="eastAsia"/>
          <w:snapToGrid w:val="0"/>
          <w:color w:val="auto"/>
          <w:kern w:val="0"/>
          <w:szCs w:val="21"/>
          <w:highlight w:val="auto"/>
        </w:rPr>
        <w:t>（</w:t>
      </w:r>
      <w:r>
        <w:rPr>
          <w:rFonts w:ascii="宋体"/>
          <w:snapToGrid w:val="0"/>
          <w:color w:val="auto"/>
          <w:kern w:val="0"/>
          <w:szCs w:val="21"/>
          <w:highlight w:val="auto"/>
        </w:rPr>
        <w:t>5</w:t>
      </w:r>
      <w:r>
        <w:rPr>
          <w:rFonts w:ascii="宋体" w:hint="eastAsia"/>
          <w:snapToGrid w:val="0"/>
          <w:color w:val="auto"/>
          <w:kern w:val="0"/>
          <w:szCs w:val="21"/>
          <w:highlight w:val="auto"/>
        </w:rPr>
        <w:t>）提出质疑的日期。</w:t>
      </w:r>
    </w:p>
    <w:p>
      <w:pPr>
        <w:adjustRightInd w:val="0"/>
        <w:snapToGrid w:val="0"/>
        <w:spacing w:line="360" w:lineRule="auto"/>
        <w:ind w:firstLineChars="200" w:firstLine="420"/>
        <w:jc w:val="left"/>
        <w:rPr>
          <w:rFonts w:ascii="宋体"/>
          <w:snapToGrid w:val="0"/>
          <w:color w:val="auto"/>
          <w:kern w:val="0"/>
          <w:szCs w:val="21"/>
          <w:highlight w:val="auto"/>
        </w:rPr>
      </w:pPr>
      <w:r>
        <w:rPr>
          <w:rFonts w:ascii="宋体"/>
          <w:snapToGrid w:val="0"/>
          <w:color w:val="auto"/>
          <w:kern w:val="0"/>
          <w:szCs w:val="21"/>
          <w:highlight w:val="auto"/>
        </w:rPr>
        <w:t>29.2.3</w:t>
      </w:r>
      <w:r>
        <w:rPr>
          <w:rFonts w:ascii="宋体" w:hint="eastAsia"/>
          <w:snapToGrid w:val="0"/>
          <w:color w:val="auto"/>
          <w:kern w:val="0"/>
          <w:szCs w:val="21"/>
          <w:highlight w:val="auto"/>
        </w:rPr>
        <w:t>采购机构应当在收到供应商的书面质疑后七个工作日内作出答复，并以书面形式通知质疑供应商和其他与质疑处理结果有利害关系的政府采购当事人，但答复的内容不得涉及商业秘密。</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29.3</w:t>
      </w:r>
      <w:r>
        <w:rPr>
          <w:rFonts w:ascii="宋体" w:hint="eastAsia"/>
          <w:b/>
          <w:snapToGrid w:val="0"/>
          <w:color w:val="auto"/>
          <w:kern w:val="0"/>
          <w:szCs w:val="21"/>
          <w:highlight w:val="auto"/>
        </w:rPr>
        <w:t>供应商投诉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hint="eastAsia"/>
          <w:snapToGrid w:val="0"/>
          <w:color w:val="auto"/>
          <w:kern w:val="0"/>
          <w:szCs w:val="21"/>
          <w:highlight w:val="auto"/>
        </w:rPr>
        <w:t>质疑供应商对采购机构的答复不满意或者采购机构未在规定的时间内作出答复的，可以在答复期满后十五个工作日内向同级政府采购监督管理部门提出投诉。</w:t>
      </w:r>
    </w:p>
    <w:p>
      <w:pPr>
        <w:adjustRightInd w:val="0"/>
        <w:snapToGrid w:val="0"/>
        <w:spacing w:line="360" w:lineRule="auto"/>
        <w:ind w:firstLineChars="200" w:firstLine="420"/>
        <w:rPr>
          <w:rFonts w:ascii="宋体"/>
          <w:b/>
          <w:snapToGrid w:val="0"/>
          <w:color w:val="auto"/>
          <w:kern w:val="0"/>
          <w:szCs w:val="21"/>
          <w:highlight w:val="auto"/>
        </w:rPr>
      </w:pPr>
      <w:r>
        <w:rPr>
          <w:rFonts w:ascii="宋体"/>
          <w:b/>
          <w:snapToGrid w:val="0"/>
          <w:color w:val="auto"/>
          <w:kern w:val="0"/>
          <w:szCs w:val="21"/>
          <w:highlight w:val="auto"/>
        </w:rPr>
        <w:t>30</w:t>
      </w:r>
      <w:r>
        <w:rPr>
          <w:rFonts w:ascii="宋体" w:hint="eastAsia"/>
          <w:b/>
          <w:snapToGrid w:val="0"/>
          <w:color w:val="auto"/>
          <w:kern w:val="0"/>
          <w:szCs w:val="21"/>
          <w:highlight w:val="auto"/>
        </w:rPr>
        <w:t>．采购结束</w:t>
      </w:r>
    </w:p>
    <w:p>
      <w:pPr>
        <w:adjustRightInd w:val="0"/>
        <w:snapToGrid w:val="0"/>
        <w:spacing w:line="360" w:lineRule="auto"/>
        <w:ind w:firstLineChars="200" w:firstLine="420"/>
        <w:jc w:val="left"/>
        <w:rPr>
          <w:rFonts w:ascii="宋体" w:cs="仿宋_GB2312"/>
          <w:color w:val="auto"/>
          <w:sz w:val="32"/>
          <w:szCs w:val="32"/>
          <w:lang w:val="zh-CN"/>
          <w:highlight w:val="auto"/>
        </w:rPr>
      </w:pPr>
      <w:r>
        <w:rPr>
          <w:rFonts w:ascii="宋体"/>
          <w:snapToGrid w:val="0"/>
          <w:color w:val="auto"/>
          <w:kern w:val="0"/>
          <w:szCs w:val="21"/>
          <w:highlight w:val="auto"/>
        </w:rPr>
        <w:t xml:space="preserve">30.1 </w:t>
      </w:r>
      <w:r>
        <w:rPr>
          <w:rFonts w:ascii="宋体" w:hint="eastAsia"/>
          <w:snapToGrid w:val="0"/>
          <w:color w:val="auto"/>
          <w:kern w:val="0"/>
          <w:szCs w:val="21"/>
          <w:highlight w:val="auto"/>
        </w:rPr>
        <w:t>中标人与采购人签订合同生效后即为采购结束。本项目的投标文件不予退回。</w:t>
      </w:r>
      <w:bookmarkEnd w:id="16"/>
      <w:bookmarkEnd w:id="17"/>
      <w:bookmarkEnd w:id="18"/>
      <w:bookmarkEnd w:id="19"/>
      <w:r>
        <w:rPr>
          <w:color w:val="auto"/>
          <w:sz w:val="24"/>
          <w:highlight w:val="auto"/>
        </w:rPr>
        <w:br w:type="page"/>
      </w:r>
      <w:bookmarkStart w:id="52" w:name="_Toc227057922"/>
      <w:bookmarkStart w:id="53" w:name="_Toc226969316"/>
      <w:bookmarkStart w:id="54" w:name="_Toc107822520"/>
      <w:bookmarkStart w:id="55" w:name="_Toc17509"/>
      <w:bookmarkStart w:id="56" w:name="_Toc60757527"/>
      <w:r>
        <w:rPr>
          <w:rFonts w:ascii="宋体" w:hint="eastAsia"/>
          <w:b/>
          <w:color w:val="auto"/>
          <w:sz w:val="32"/>
          <w:szCs w:val="32"/>
          <w:highlight w:val="auto"/>
        </w:rPr>
        <w:t>第三章</w:t>
      </w:r>
      <w:r>
        <w:rPr>
          <w:rFonts w:ascii="宋体"/>
          <w:b/>
          <w:color w:val="auto"/>
          <w:sz w:val="32"/>
          <w:szCs w:val="32"/>
          <w:highlight w:val="auto"/>
        </w:rPr>
        <w:t xml:space="preserve">  </w:t>
      </w:r>
      <w:bookmarkEnd w:id="52"/>
      <w:bookmarkEnd w:id="53"/>
      <w:bookmarkEnd w:id="54"/>
      <w:r>
        <w:rPr>
          <w:rFonts w:ascii="宋体" w:hint="eastAsia"/>
          <w:b/>
          <w:color w:val="auto"/>
          <w:sz w:val="32"/>
          <w:szCs w:val="32"/>
          <w:highlight w:val="auto"/>
        </w:rPr>
        <w:t>采购合同</w:t>
      </w:r>
      <w:bookmarkEnd w:id="55"/>
      <w:bookmarkEnd w:id="56"/>
    </w:p>
    <w:p>
      <w:pPr>
        <w:spacing w:line="360" w:lineRule="auto"/>
        <w:jc w:val="center"/>
        <w:rPr>
          <w:rFonts w:ascii="楷体_GB2312" w:eastAsia="楷体_GB2312" w:hint="eastAsia"/>
          <w:b/>
          <w:bCs/>
          <w:color w:val="auto"/>
          <w:spacing w:val="20"/>
          <w:sz w:val="32"/>
          <w:szCs w:val="32"/>
          <w:lang w:eastAsia="zh-CN"/>
          <w:highlight w:val="auto"/>
        </w:rPr>
      </w:pPr>
      <w:bookmarkStart w:id="57" w:name="_Toc60757530"/>
      <w:bookmarkStart w:id="58" w:name="_Toc107822570"/>
      <w:bookmarkStart w:id="59" w:name="_Toc226969353"/>
      <w:bookmarkStart w:id="60" w:name="_Toc227057959"/>
      <w:r>
        <w:rPr>
          <w:rFonts w:ascii="楷体_GB2312" w:eastAsia="楷体_GB2312" w:hint="eastAsia"/>
          <w:b/>
          <w:bCs/>
          <w:color w:val="auto"/>
          <w:spacing w:val="20"/>
          <w:sz w:val="32"/>
          <w:szCs w:val="32"/>
          <w:highlight w:val="auto"/>
        </w:rPr>
        <w:t>货物采购合同</w:t>
      </w:r>
    </w:p>
    <w:p>
      <w:pPr>
        <w:pStyle w:val="21"/>
        <w:rPr>
          <w:color w:val="auto"/>
          <w:highlight w:val="auto"/>
        </w:rPr>
      </w:pPr>
    </w:p>
    <w:tbl>
      <w:tblPr>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3864"/>
        <w:gridCol w:w="4658"/>
      </w:tblGrid>
      <w:tr>
        <w:tc>
          <w:tcPr>
            <w:tcW w:w="3864"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供方</w:t>
            </w:r>
            <w:r>
              <w:rPr>
                <w:rFonts w:ascii="楷体_GB2312" w:eastAsia="楷体_GB2312" w:hint="eastAsia"/>
                <w:color w:val="auto"/>
                <w:sz w:val="24"/>
                <w:highlight w:val="auto"/>
              </w:rPr>
              <w:t xml:space="preserve">： </w:t>
            </w:r>
          </w:p>
        </w:tc>
        <w:tc>
          <w:tcPr>
            <w:tcW w:w="4658"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合同编号：</w:t>
            </w:r>
            <w:r>
              <w:rPr>
                <w:rFonts w:ascii="楷体_GB2312" w:eastAsia="楷体_GB2312" w:hint="eastAsia"/>
                <w:color w:val="auto"/>
                <w:sz w:val="24"/>
                <w:highlight w:val="auto"/>
              </w:rPr>
              <w:t xml:space="preserve"> </w:t>
            </w:r>
          </w:p>
        </w:tc>
      </w:tr>
      <w:tr>
        <w:tc>
          <w:tcPr>
            <w:tcW w:w="3864" w:type="dxa"/>
            <w:vMerge w:val="restart"/>
          </w:tcPr>
          <w:p>
            <w:pPr>
              <w:spacing w:line="520" w:lineRule="exact"/>
              <w:rPr>
                <w:rFonts w:ascii="楷体_GB2312" w:eastAsia="楷体_GB2312"/>
                <w:color w:val="auto"/>
                <w:sz w:val="24"/>
                <w:lang w:val="zh-CN"/>
                <w:highlight w:val="auto"/>
              </w:rPr>
            </w:pPr>
            <w:r>
              <w:rPr>
                <w:rFonts w:ascii="楷体_GB2312" w:eastAsia="楷体_GB2312" w:hint="eastAsia"/>
                <w:color w:val="auto"/>
                <w:sz w:val="24"/>
                <w:lang w:val="zh-CN"/>
                <w:highlight w:val="auto"/>
              </w:rPr>
              <w:t>采购方： 嘉兴海关综合技术服务中心</w:t>
            </w:r>
            <w:r>
              <w:rPr>
                <w:rFonts w:ascii="楷体_GB2312" w:eastAsia="楷体_GB2312" w:hint="eastAsia"/>
                <w:color w:val="auto"/>
                <w:sz w:val="24"/>
                <w:highlight w:val="auto"/>
              </w:rPr>
              <w:t xml:space="preserve"> </w:t>
            </w:r>
          </w:p>
        </w:tc>
        <w:tc>
          <w:tcPr>
            <w:tcW w:w="4658"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采购编号：</w:t>
            </w:r>
            <w:r>
              <w:rPr>
                <w:rFonts w:ascii="楷体_GB2312" w:eastAsia="楷体_GB2312" w:hint="eastAsia"/>
                <w:color w:val="auto"/>
                <w:sz w:val="24"/>
                <w:highlight w:val="auto"/>
              </w:rPr>
              <w:t xml:space="preserve"> </w:t>
            </w:r>
          </w:p>
        </w:tc>
      </w:tr>
      <w:tr>
        <w:tc>
          <w:tcPr>
            <w:tcW w:w="3864" w:type="dxa"/>
            <w:vMerge/>
          </w:tcPr>
          <w:p/>
        </w:tc>
        <w:tc>
          <w:tcPr>
            <w:tcW w:w="4658" w:type="dxa"/>
          </w:tcPr>
          <w:p>
            <w:pPr>
              <w:spacing w:line="520" w:lineRule="exact"/>
              <w:jc w:val="left"/>
              <w:rPr>
                <w:rFonts w:ascii="楷体_GB2312" w:eastAsia="楷体_GB2312"/>
                <w:color w:val="auto"/>
                <w:sz w:val="24"/>
                <w:lang w:val="zh-CN"/>
                <w:highlight w:val="auto"/>
              </w:rPr>
            </w:pPr>
            <w:r>
              <w:rPr>
                <w:rFonts w:ascii="楷体_GB2312" w:eastAsia="楷体_GB2312" w:hint="eastAsia"/>
                <w:color w:val="auto"/>
                <w:sz w:val="24"/>
                <w:highlight w:val="auto"/>
              </w:rPr>
              <w:t>采购项目</w:t>
            </w:r>
            <w:r>
              <w:rPr>
                <w:rFonts w:ascii="楷体_GB2312" w:eastAsia="楷体_GB2312" w:hint="eastAsia"/>
                <w:color w:val="auto"/>
                <w:sz w:val="24"/>
                <w:lang w:val="zh-CN"/>
                <w:highlight w:val="auto"/>
              </w:rPr>
              <w:t>：</w:t>
            </w:r>
            <w:r>
              <w:rPr>
                <w:rFonts w:ascii="楷体_GB2312" w:eastAsia="楷体_GB2312" w:hint="eastAsia"/>
                <w:color w:val="auto"/>
                <w:sz w:val="24"/>
                <w:highlight w:val="auto"/>
              </w:rPr>
              <w:t xml:space="preserve"> </w:t>
            </w:r>
          </w:p>
        </w:tc>
      </w:tr>
      <w:tr>
        <w:tc>
          <w:tcPr>
            <w:tcW w:w="3864" w:type="dxa"/>
          </w:tcPr>
          <w:p>
            <w:pPr>
              <w:spacing w:line="520" w:lineRule="exact"/>
              <w:rPr>
                <w:rFonts w:ascii="楷体_GB2312" w:eastAsia="楷体_GB2312"/>
                <w:color w:val="auto"/>
                <w:sz w:val="24"/>
                <w:highlight w:val="auto"/>
              </w:rPr>
            </w:pPr>
            <w:r>
              <w:rPr>
                <w:rFonts w:ascii="楷体_GB2312" w:eastAsia="楷体_GB2312" w:hint="eastAsia"/>
                <w:color w:val="auto"/>
                <w:sz w:val="24"/>
                <w:lang w:val="zh-CN"/>
                <w:highlight w:val="auto"/>
              </w:rPr>
              <w:t>委托代理机构：大地工程咨询有限公司</w:t>
            </w:r>
          </w:p>
        </w:tc>
        <w:tc>
          <w:tcPr>
            <w:tcW w:w="4658" w:type="dxa"/>
          </w:tcPr>
          <w:p>
            <w:pPr>
              <w:spacing w:line="520" w:lineRule="exact"/>
              <w:rPr>
                <w:rFonts w:ascii="楷体_GB2312" w:eastAsia="楷体_GB2312"/>
                <w:color w:val="auto"/>
                <w:sz w:val="24"/>
                <w:lang w:val="zh-CN"/>
                <w:highlight w:val="auto"/>
              </w:rPr>
            </w:pPr>
            <w:r>
              <w:rPr>
                <w:rFonts w:ascii="楷体_GB2312" w:eastAsia="楷体_GB2312" w:hint="eastAsia"/>
                <w:color w:val="auto"/>
                <w:sz w:val="24"/>
                <w:highlight w:val="auto"/>
              </w:rPr>
              <w:t xml:space="preserve"> </w:t>
            </w:r>
          </w:p>
        </w:tc>
      </w:tr>
      <w:tr>
        <w:tc>
          <w:tcPr>
            <w:tcW w:w="8522" w:type="dxa"/>
            <w:gridSpan w:val="2"/>
          </w:tcPr>
          <w:p>
            <w:pPr>
              <w:spacing w:line="520" w:lineRule="exact"/>
              <w:rPr>
                <w:rFonts w:ascii="楷体_GB2312" w:eastAsia="楷体_GB2312"/>
                <w:color w:val="auto"/>
                <w:sz w:val="24"/>
                <w:lang w:val="zh-CN"/>
                <w:highlight w:val="auto"/>
              </w:rPr>
            </w:pPr>
            <w:r>
              <w:rPr>
                <w:rFonts w:ascii="楷体_GB2312" w:eastAsia="楷体_GB2312" w:hint="eastAsia"/>
                <w:color w:val="auto"/>
                <w:sz w:val="24"/>
                <w:lang w:val="zh-CN"/>
                <w:highlight w:val="auto"/>
              </w:rPr>
              <w:t>合同签约地：</w:t>
            </w:r>
            <w:r>
              <w:rPr>
                <w:rFonts w:ascii="楷体_GB2312" w:eastAsia="楷体_GB2312" w:hint="eastAsia"/>
                <w:color w:val="auto"/>
                <w:sz w:val="24"/>
                <w:highlight w:val="auto"/>
              </w:rPr>
              <w:t xml:space="preserve"> </w:t>
            </w:r>
          </w:p>
        </w:tc>
      </w:tr>
    </w:tbl>
    <w:p>
      <w:pPr>
        <w:spacing w:line="360" w:lineRule="auto"/>
        <w:ind w:firstLineChars="350" w:firstLine="840"/>
        <w:rPr>
          <w:rFonts w:ascii="楷体_GB2312" w:eastAsia="楷体_GB2312"/>
          <w:color w:val="auto"/>
          <w:sz w:val="24"/>
          <w:lang w:val="zh-CN"/>
          <w:highlight w:val="auto"/>
        </w:rPr>
      </w:pPr>
    </w:p>
    <w:p>
      <w:pPr>
        <w:spacing w:line="360" w:lineRule="auto"/>
        <w:ind w:firstLineChars="350" w:firstLine="840"/>
        <w:rPr>
          <w:color w:val="auto"/>
          <w:highlight w:val="auto"/>
        </w:rPr>
      </w:pPr>
      <w:r>
        <w:rPr>
          <w:rFonts w:ascii="楷体_GB2312" w:eastAsia="楷体_GB2312" w:hint="eastAsia"/>
          <w:color w:val="auto"/>
          <w:sz w:val="24"/>
          <w:lang w:val="zh-CN"/>
          <w:highlight w:val="auto"/>
        </w:rPr>
        <w:t>根据《中华人民共和国民法典》、《中华人民共和国政府采购法》等有关法律法规，遵循平等自愿原则，经双方友好协商一致，达成以下合同条款：</w:t>
      </w:r>
    </w:p>
    <w:p>
      <w:pPr>
        <w:numPr>
          <w:ilvl w:val="0"/>
          <w:numId w:val="5"/>
        </w:numPr>
        <w:spacing w:beforeLines="50" w:before="156" w:line="360" w:lineRule="auto"/>
        <w:rPr>
          <w:rFonts w:ascii="楷体_GB2312" w:eastAsia="楷体_GB2312"/>
          <w:color w:val="auto"/>
          <w:sz w:val="24"/>
          <w:highlight w:val="auto"/>
        </w:rPr>
      </w:pPr>
      <w:r>
        <w:rPr>
          <w:rFonts w:ascii="楷体_GB2312" w:eastAsia="楷体_GB2312" w:hint="eastAsia"/>
          <w:color w:val="auto"/>
          <w:sz w:val="24"/>
          <w:highlight w:val="auto"/>
        </w:rPr>
        <w:t>本次采购涉及的招标文件（或采购文件）、投标文件（或响应文件）及招标（或磋商）现场供方的询标记录（或补充承诺）与本合同具有同等法律效力，如有与</w:t>
      </w:r>
      <w:r>
        <w:rPr>
          <w:rFonts w:ascii="楷体_GB2312" w:eastAsia="楷体_GB2312" w:hint="eastAsia"/>
          <w:bCs/>
          <w:color w:val="auto"/>
          <w:sz w:val="24"/>
          <w:highlight w:val="auto"/>
        </w:rPr>
        <w:t>本合同</w:t>
      </w:r>
      <w:r>
        <w:rPr>
          <w:rFonts w:ascii="楷体_GB2312" w:eastAsia="楷体_GB2312" w:hint="eastAsia"/>
          <w:color w:val="auto"/>
          <w:sz w:val="24"/>
          <w:highlight w:val="auto"/>
        </w:rPr>
        <w:t>条款有冲突部分则按有利于需方为准。</w:t>
      </w:r>
    </w:p>
    <w:p>
      <w:pPr>
        <w:spacing w:beforeLines="50" w:before="156"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第二条 货物名称、规格、数量、价格</w:t>
      </w: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488"/>
        <w:gridCol w:w="1659"/>
        <w:gridCol w:w="2076"/>
        <w:gridCol w:w="540"/>
        <w:gridCol w:w="1035"/>
        <w:gridCol w:w="1350"/>
        <w:gridCol w:w="1307"/>
      </w:tblGrid>
      <w:tr>
        <w:trPr>
          <w:trHeight w:val="495"/>
        </w:trP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序号</w:t>
            </w:r>
          </w:p>
        </w:tc>
        <w:tc>
          <w:tcPr>
            <w:tcW w:w="1659" w:type="dxa"/>
            <w:tcBorders>
              <w:top w:val="single" w:sz="4" w:space="0" w:color="auto"/>
              <w:left w:val="single" w:sz="4" w:space="0" w:color="auto"/>
              <w:bottom w:val="single" w:sz="4" w:space="0" w:color="auto"/>
              <w:right w:val="single" w:sz="4" w:space="0" w:color="auto"/>
            </w:tcBorders>
            <w:vAlign w:val="center"/>
          </w:tcPr>
          <w:p>
            <w:pPr>
              <w:autoSpaceDE w:val="0"/>
              <w:autoSpaceDN w:val="0"/>
              <w:adjustRightInd w:val="0"/>
              <w:spacing w:line="360" w:lineRule="auto"/>
              <w:jc w:val="center"/>
              <w:rPr>
                <w:rFonts w:ascii="楷体_GB2312" w:eastAsia="楷体_GB2312"/>
                <w:b/>
                <w:bCs/>
                <w:color w:val="auto"/>
                <w:sz w:val="24"/>
                <w:highlight w:val="auto"/>
              </w:rPr>
            </w:pPr>
            <w:r>
              <w:rPr>
                <w:rFonts w:ascii="楷体_GB2312" w:eastAsia="楷体_GB2312" w:hint="eastAsia"/>
                <w:b/>
                <w:bCs/>
                <w:color w:val="auto"/>
                <w:sz w:val="24"/>
                <w:lang w:val="zh-CN"/>
                <w:highlight w:val="auto"/>
              </w:rPr>
              <w:t>货物名称</w:t>
            </w: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型号规格</w:t>
            </w: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单位</w:t>
            </w: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Style w:val="48"/>
                <w:rFonts w:ascii="楷体_GB2312" w:eastAsia="楷体_GB2312" w:hint="eastAsia"/>
                <w:color w:val="auto"/>
                <w:sz w:val="24"/>
                <w:highlight w:val="auto"/>
              </w:rPr>
              <w:t>数量</w:t>
            </w: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单 价</w:t>
            </w:r>
          </w:p>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（元）</w:t>
            </w: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合计金额</w:t>
            </w:r>
          </w:p>
          <w:p>
            <w:pPr>
              <w:spacing w:line="360" w:lineRule="auto"/>
              <w:jc w:val="center"/>
              <w:rPr>
                <w:rFonts w:ascii="楷体_GB2312" w:eastAsia="楷体_GB2312"/>
                <w:b/>
                <w:bCs/>
                <w:color w:val="auto"/>
                <w:sz w:val="24"/>
                <w:highlight w:val="auto"/>
              </w:rPr>
            </w:pPr>
            <w:r>
              <w:rPr>
                <w:rFonts w:ascii="楷体_GB2312" w:eastAsia="楷体_GB2312" w:hint="eastAsia"/>
                <w:b/>
                <w:bCs/>
                <w:color w:val="auto"/>
                <w:sz w:val="24"/>
                <w:highlight w:val="auto"/>
              </w:rPr>
              <w:t>（元）</w:t>
            </w:r>
          </w:p>
        </w:tc>
      </w:tr>
      <w:t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ind w:firstLineChars="50" w:firstLine="120"/>
              <w:rPr>
                <w:rFonts w:ascii="楷体_GB2312" w:eastAsia="楷体_GB2312"/>
                <w:color w:val="auto"/>
                <w:sz w:val="24"/>
                <w:highlight w:val="auto"/>
              </w:rPr>
            </w:pPr>
            <w:r>
              <w:rPr>
                <w:rFonts w:ascii="楷体_GB2312" w:eastAsia="楷体_GB2312" w:hint="eastAsia"/>
                <w:color w:val="auto"/>
                <w:sz w:val="24"/>
                <w:highlight w:val="auto"/>
              </w:rPr>
              <w:t>1</w:t>
            </w:r>
          </w:p>
        </w:tc>
        <w:tc>
          <w:tcPr>
            <w:tcW w:w="1659"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详见附件1供应商</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《报价明细表》</w:t>
            </w: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台套</w:t>
            </w: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color w:val="auto"/>
                <w:sz w:val="24"/>
                <w:highlight w:val="auto"/>
              </w:rPr>
              <w:t xml:space="preserve"> </w:t>
            </w: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color w:val="auto"/>
                <w:sz w:val="24"/>
                <w:highlight w:val="auto"/>
              </w:rPr>
              <w:t xml:space="preserve"> </w:t>
            </w:r>
          </w:p>
        </w:tc>
      </w:tr>
      <w:t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ind w:firstLineChars="50" w:firstLine="120"/>
              <w:rPr>
                <w:rFonts w:ascii="楷体_GB2312" w:eastAsia="楷体_GB2312"/>
                <w:color w:val="auto"/>
                <w:sz w:val="24"/>
                <w:highlight w:val="auto"/>
              </w:rPr>
            </w:pPr>
          </w:p>
        </w:tc>
        <w:tc>
          <w:tcPr>
            <w:tcW w:w="1659"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u w:val="single"/>
                <w:highlight w:val="auto"/>
              </w:rPr>
            </w:pPr>
            <w:r>
              <w:rPr>
                <w:rFonts w:ascii="楷体_GB2312" w:eastAsia="楷体_GB2312" w:hint="eastAsia"/>
                <w:color w:val="auto"/>
                <w:sz w:val="24"/>
                <w:highlight w:val="auto"/>
              </w:rPr>
              <w:t>可增加</w:t>
            </w: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p>
        </w:tc>
      </w:tr>
      <w:tr>
        <w:trPr>
          <w:trHeight w:val="938"/>
        </w:trPr>
        <w:tc>
          <w:tcPr>
            <w:tcW w:w="2147" w:type="dxa"/>
            <w:gridSpan w:val="2"/>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合 同 总 价</w:t>
            </w:r>
          </w:p>
          <w:p>
            <w:pPr>
              <w:spacing w:line="360" w:lineRule="auto"/>
              <w:jc w:val="center"/>
              <w:rPr>
                <w:rFonts w:ascii="楷体_GB2312" w:eastAsia="楷体_GB2312"/>
                <w:color w:val="auto"/>
                <w:sz w:val="24"/>
                <w:highlight w:val="auto"/>
              </w:rPr>
            </w:pPr>
            <w:r>
              <w:rPr>
                <w:rFonts w:ascii="楷体_GB2312" w:eastAsia="楷体_GB2312" w:hint="eastAsia"/>
                <w:color w:val="auto"/>
                <w:sz w:val="24"/>
                <w:highlight w:val="auto"/>
              </w:rPr>
              <w:t>（人民币，含税）</w:t>
            </w:r>
          </w:p>
        </w:tc>
        <w:tc>
          <w:tcPr>
            <w:tcW w:w="6308" w:type="dxa"/>
            <w:gridSpan w:val="5"/>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w:t>
            </w:r>
            <w:r>
              <w:rPr>
                <w:rFonts w:ascii="楷体_GB2312" w:eastAsia="楷体_GB2312"/>
                <w:color w:val="auto"/>
                <w:sz w:val="24"/>
                <w:u w:val="single"/>
                <w:highlight w:val="auto"/>
              </w:rPr>
              <w:t xml:space="preserve">                         </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（人民币：</w:t>
            </w:r>
            <w:r>
              <w:rPr>
                <w:rFonts w:ascii="楷体_GB2312" w:eastAsia="楷体_GB2312"/>
                <w:color w:val="auto"/>
                <w:sz w:val="24"/>
                <w:highlight w:val="auto"/>
              </w:rPr>
              <w:t xml:space="preserve">                       </w:t>
            </w:r>
            <w:r>
              <w:rPr>
                <w:rFonts w:ascii="楷体_GB2312" w:eastAsia="楷体_GB2312" w:hint="eastAsia"/>
                <w:color w:val="auto"/>
                <w:sz w:val="24"/>
                <w:highlight w:val="auto"/>
              </w:rPr>
              <w:t>）</w:t>
            </w:r>
          </w:p>
        </w:tc>
      </w:tr>
    </w:tbl>
    <w:p>
      <w:pPr>
        <w:autoSpaceDE w:val="0"/>
        <w:autoSpaceDN w:val="0"/>
        <w:adjustRightInd w:val="0"/>
        <w:spacing w:line="360" w:lineRule="auto"/>
        <w:rPr>
          <w:rFonts w:ascii="楷体_GB2312" w:eastAsia="楷体_GB2312"/>
          <w:color w:val="auto"/>
          <w:sz w:val="24"/>
          <w:highlight w:val="auto"/>
        </w:rPr>
      </w:pPr>
      <w:r>
        <w:rPr>
          <w:rFonts w:ascii="楷体_GB2312" w:eastAsia="楷体_GB2312" w:hint="eastAsia"/>
          <w:color w:val="auto"/>
          <w:sz w:val="24"/>
          <w:highlight w:val="auto"/>
        </w:rPr>
        <w:t>注：1.以上合同</w:t>
      </w:r>
      <w:r>
        <w:rPr>
          <w:rFonts w:ascii="楷体_GB2312" w:eastAsia="楷体_GB2312" w:cs="Times New Roman" w:hint="eastAsia"/>
          <w:color w:val="auto"/>
          <w:sz w:val="24"/>
          <w:highlight w:val="auto"/>
        </w:rPr>
        <w:t>总价包括产品的</w:t>
      </w:r>
      <w:r>
        <w:rPr>
          <w:rFonts w:ascii="楷体_GB2312" w:eastAsia="楷体_GB2312" w:cs="Times New Roman" w:hint="eastAsia"/>
          <w:color w:val="auto"/>
          <w:sz w:val="24"/>
          <w:lang w:eastAsia="zh-CN"/>
          <w:highlight w:val="auto"/>
        </w:rPr>
        <w:t>制造、材料费（主材及辅材）、运输、安装、验收、检测、保修（保修期内的售后服务）、税收、所有手续费等直至验收合格交付采购人使用的所有相关费用</w:t>
      </w:r>
      <w:r>
        <w:rPr>
          <w:rFonts w:ascii="楷体_GB2312" w:eastAsia="楷体_GB2312" w:cs="Times New Roman" w:hint="eastAsia"/>
          <w:color w:val="auto"/>
          <w:sz w:val="24"/>
          <w:highlight w:val="auto"/>
        </w:rPr>
        <w:t xml:space="preserve">。 </w:t>
      </w:r>
    </w:p>
    <w:p>
      <w:pPr>
        <w:autoSpaceDE w:val="0"/>
        <w:autoSpaceDN w:val="0"/>
        <w:adjustRightInd w:val="0"/>
        <w:spacing w:line="360" w:lineRule="auto"/>
        <w:rPr>
          <w:rFonts w:ascii="楷体_GB2312" w:eastAsia="楷体_GB2312"/>
          <w:color w:val="auto"/>
          <w:sz w:val="24"/>
          <w:highlight w:val="auto"/>
        </w:rPr>
      </w:pPr>
      <w:r>
        <w:rPr>
          <w:rFonts w:ascii="楷体_GB2312" w:eastAsia="楷体_GB2312" w:hint="eastAsia"/>
          <w:color w:val="auto"/>
          <w:sz w:val="24"/>
          <w:highlight w:val="auto"/>
        </w:rPr>
        <w:t>2.可根据采购时的约定修改币种名称和（或）是否含税。</w:t>
      </w:r>
    </w:p>
    <w:p>
      <w:pPr>
        <w:pStyle w:val="21"/>
        <w:spacing w:line="360" w:lineRule="auto"/>
        <w:rPr>
          <w:color w:val="auto"/>
          <w:highlight w:val="auto"/>
        </w:rPr>
      </w:pPr>
    </w:p>
    <w:p>
      <w:pPr>
        <w:spacing w:line="360" w:lineRule="auto"/>
        <w:rPr>
          <w:color w:val="auto"/>
          <w:highlight w:val="auto"/>
        </w:rPr>
      </w:pPr>
    </w:p>
    <w:p>
      <w:pPr>
        <w:autoSpaceDE w:val="0"/>
        <w:autoSpaceDN w:val="0"/>
        <w:adjustRightInd w:val="0"/>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第三条 质量保证</w:t>
      </w:r>
    </w:p>
    <w:p>
      <w:pPr>
        <w:spacing w:line="360" w:lineRule="auto"/>
        <w:ind w:firstLineChars="200" w:firstLine="480"/>
        <w:rPr>
          <w:rFonts w:ascii="楷体_GB2312" w:eastAsia="楷体_GB2312"/>
          <w:bCs/>
          <w:color w:val="auto"/>
          <w:sz w:val="24"/>
          <w:highlight w:val="auto"/>
        </w:rPr>
      </w:pPr>
      <w:bookmarkStart w:id="61" w:name="_Hlk103687979"/>
      <w:r>
        <w:rPr>
          <w:rFonts w:ascii="楷体_GB2312" w:eastAsia="楷体_GB2312" w:hint="eastAsia"/>
          <w:bCs/>
          <w:color w:val="auto"/>
          <w:sz w:val="24"/>
          <w:highlight w:val="auto"/>
        </w:rPr>
        <w:t>1.质量功能标准需符合厂方提供的技术资料中所规定的质量标准和双方商定的技术指标。</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2.供方保证本合同中所供应的国产商品是合同签订后或至多签订前半年内生产的，符合国家法律规定和技术规格、质量标准的出厂原装合格产品</w:t>
      </w:r>
      <w:r>
        <w:rPr>
          <w:rFonts w:ascii="楷体_GB2312" w:eastAsia="楷体_GB2312" w:hint="eastAsia"/>
          <w:bCs/>
          <w:color w:val="auto"/>
          <w:sz w:val="24"/>
          <w:lang w:eastAsia="zh-CN"/>
          <w:highlight w:val="auto"/>
        </w:rPr>
        <w:t>。</w:t>
      </w:r>
      <w:r>
        <w:rPr>
          <w:rFonts w:ascii="楷体_GB2312" w:eastAsia="楷体_GB2312" w:hint="eastAsia"/>
          <w:bCs/>
          <w:color w:val="auto"/>
          <w:sz w:val="24"/>
          <w:highlight w:val="auto"/>
        </w:rPr>
        <w:t>如发生所供商品与合同（型号、指标、性能等）不符，需方有权拒收或退货，由此产生的一切责任和后果由供方承担。</w:t>
      </w:r>
      <w:bookmarkEnd w:id="61"/>
    </w:p>
    <w:p>
      <w:pPr>
        <w:spacing w:line="360" w:lineRule="auto"/>
        <w:rPr>
          <w:rFonts w:ascii="楷体_GB2312" w:eastAsia="楷体_GB2312"/>
          <w:b/>
          <w:color w:val="auto"/>
          <w:sz w:val="24"/>
          <w:highlight w:val="auto"/>
        </w:rPr>
      </w:pPr>
      <w:r>
        <w:rPr>
          <w:rFonts w:ascii="楷体_GB2312" w:eastAsia="楷体_GB2312" w:hint="eastAsia"/>
          <w:b/>
          <w:color w:val="auto"/>
          <w:sz w:val="24"/>
          <w:lang w:val="zh-CN"/>
          <w:highlight w:val="auto"/>
        </w:rPr>
        <w:t>第四条 技术性能指标</w:t>
      </w:r>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lang w:val="zh-CN"/>
          <w:highlight w:val="auto"/>
        </w:rPr>
        <w:t>具体指标</w:t>
      </w:r>
      <w:r>
        <w:rPr>
          <w:rFonts w:ascii="楷体_GB2312" w:eastAsia="楷体_GB2312" w:hint="eastAsia"/>
          <w:color w:val="auto"/>
          <w:sz w:val="24"/>
          <w:highlight w:val="auto"/>
        </w:rPr>
        <w:t>详见第一条所述之相关文件。</w:t>
      </w:r>
    </w:p>
    <w:p>
      <w:pPr>
        <w:autoSpaceDE w:val="0"/>
        <w:autoSpaceDN w:val="0"/>
        <w:adjustRightInd w:val="0"/>
        <w:spacing w:line="360" w:lineRule="auto"/>
        <w:rPr>
          <w:rFonts w:ascii="楷体_GB2312" w:eastAsia="楷体_GB2312"/>
          <w:b/>
          <w:color w:val="auto"/>
          <w:sz w:val="24"/>
          <w:lang w:val="zh-CN"/>
          <w:highlight w:val="auto"/>
        </w:rPr>
      </w:pPr>
      <w:r>
        <w:rPr>
          <w:rFonts w:ascii="楷体_GB2312" w:eastAsia="楷体_GB2312" w:hint="eastAsia"/>
          <w:b/>
          <w:color w:val="auto"/>
          <w:sz w:val="24"/>
          <w:lang w:val="zh-CN"/>
          <w:highlight w:val="auto"/>
        </w:rPr>
        <w:t>第五条 交货时间、地点</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最晚不迟于（</w:t>
      </w:r>
      <w:r>
        <w:rPr>
          <w:rFonts w:hint="eastAsia"/>
          <w:bCs/>
          <w:color w:val="auto"/>
          <w:szCs w:val="21"/>
          <w:highlight w:val="auto"/>
        </w:rPr>
        <w:sym w:font="Wingdings" w:char="A8"/>
      </w:r>
      <w:r>
        <w:rPr>
          <w:rFonts w:hint="eastAsia"/>
          <w:bCs/>
          <w:color w:val="auto"/>
          <w:szCs w:val="21"/>
          <w:highlight w:val="auto"/>
        </w:rPr>
        <w:t>合同签订</w:t>
      </w:r>
      <w:r>
        <w:rPr>
          <w:rFonts w:hint="eastAsia"/>
          <w:bCs/>
          <w:color w:val="auto"/>
          <w:szCs w:val="21"/>
          <w:highlight w:val="auto"/>
        </w:rPr>
        <w:sym w:font="Wingdings" w:char="A8"/>
      </w:r>
      <w:r>
        <w:rPr>
          <w:rFonts w:hint="eastAsia"/>
          <w:bCs/>
          <w:color w:val="auto"/>
          <w:szCs w:val="21"/>
          <w:highlight w:val="auto"/>
        </w:rPr>
        <w:t>取得免表</w:t>
      </w:r>
      <w:r>
        <w:rPr>
          <w:rFonts w:hint="eastAsia"/>
          <w:bCs/>
          <w:color w:val="auto"/>
          <w:szCs w:val="21"/>
          <w:highlight w:val="auto"/>
        </w:rPr>
        <w:sym w:font="Wingdings" w:char="A8"/>
      </w:r>
      <w:r>
        <w:rPr>
          <w:rFonts w:hint="eastAsia"/>
          <w:bCs/>
          <w:color w:val="auto"/>
          <w:szCs w:val="21"/>
          <w:highlight w:val="auto"/>
        </w:rPr>
        <w:t>收到信用证</w:t>
      </w:r>
      <w:r>
        <w:rPr>
          <w:rFonts w:ascii="楷体_GB2312" w:eastAsia="楷体_GB2312" w:hint="eastAsia"/>
          <w:color w:val="auto"/>
          <w:sz w:val="24"/>
          <w:lang w:val="zh-CN"/>
          <w:highlight w:val="auto"/>
        </w:rPr>
        <w:t xml:space="preserve">）后 </w:t>
      </w:r>
      <w:r>
        <w:rPr>
          <w:rFonts w:ascii="楷体_GB2312" w:eastAsia="楷体_GB2312" w:hint="eastAsia"/>
          <w:color w:val="auto"/>
          <w:sz w:val="24"/>
          <w:u w:val="single"/>
          <w:lang w:val="zh-CN"/>
          <w:highlight w:val="auto"/>
        </w:rPr>
        <w:t xml:space="preserve">       </w:t>
      </w:r>
      <w:r>
        <w:rPr>
          <w:rFonts w:ascii="楷体_GB2312" w:eastAsia="楷体_GB2312" w:hint="eastAsia"/>
          <w:color w:val="auto"/>
          <w:sz w:val="24"/>
          <w:highlight w:val="auto"/>
        </w:rPr>
        <w:t>日历天</w:t>
      </w:r>
      <w:r>
        <w:rPr>
          <w:rFonts w:ascii="楷体_GB2312" w:eastAsia="楷体_GB2312" w:hint="eastAsia"/>
          <w:color w:val="auto"/>
          <w:sz w:val="24"/>
          <w:lang w:val="zh-CN"/>
          <w:highlight w:val="auto"/>
        </w:rPr>
        <w:t>。</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货物交付地点（送货前再确认，可经双方同意后变更至校内其他地址）：</w:t>
      </w:r>
    </w:p>
    <w:p>
      <w:pPr>
        <w:autoSpaceDE w:val="0"/>
        <w:autoSpaceDN w:val="0"/>
        <w:adjustRightInd w:val="0"/>
        <w:spacing w:line="360" w:lineRule="auto"/>
        <w:ind w:firstLineChars="200" w:firstLine="420"/>
        <w:rPr>
          <w:rFonts w:ascii="楷体_GB2312" w:eastAsia="楷体_GB2312"/>
          <w:color w:val="auto"/>
          <w:sz w:val="24"/>
          <w:lang w:val="zh-CN"/>
          <w:highlight w:val="auto"/>
        </w:rPr>
      </w:pPr>
      <w:r>
        <w:rPr>
          <w:rFonts w:hint="eastAsia"/>
          <w:bCs/>
          <w:color w:val="auto"/>
          <w:szCs w:val="21"/>
          <w:highlight w:val="auto"/>
        </w:rPr>
        <w:sym w:font="Wingdings" w:char="A8"/>
      </w:r>
      <w:r>
        <w:rPr>
          <w:rFonts w:ascii="楷体_GB2312" w:eastAsia="楷体_GB2312" w:hint="eastAsia"/>
          <w:color w:val="auto"/>
          <w:sz w:val="24"/>
          <w:highlight w:val="auto"/>
        </w:rPr>
        <w:t xml:space="preserve"> 地址：</w:t>
      </w:r>
    </w:p>
    <w:p>
      <w:pPr>
        <w:autoSpaceDE w:val="0"/>
        <w:autoSpaceDN w:val="0"/>
        <w:adjustRightInd w:val="0"/>
        <w:spacing w:line="360" w:lineRule="auto"/>
        <w:ind w:firstLineChars="200" w:firstLine="480"/>
        <w:jc w:val="center"/>
        <w:rPr>
          <w:rFonts w:ascii="楷体_GB2312" w:eastAsia="楷体_GB2312"/>
          <w:color w:val="auto"/>
          <w:sz w:val="24"/>
          <w:highlight w:val="auto"/>
        </w:rPr>
      </w:pPr>
      <w:r>
        <w:rPr>
          <w:rFonts w:ascii="楷体_GB2312" w:eastAsia="楷体_GB2312" w:hint="eastAsia"/>
          <w:color w:val="auto"/>
          <w:sz w:val="24"/>
          <w:highlight w:val="auto"/>
        </w:rPr>
        <w:t>请填写详细地址</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1.供方在合同签订后，按照其与使用单位事先直接联系约定，将所供商品安全运至指定地点，并负责安装调试。</w:t>
      </w:r>
    </w:p>
    <w:p>
      <w:pPr>
        <w:autoSpaceDE w:val="0"/>
        <w:autoSpaceDN w:val="0"/>
        <w:adjustRightInd w:val="0"/>
        <w:spacing w:line="360" w:lineRule="auto"/>
        <w:ind w:firstLineChars="200" w:firstLine="480"/>
        <w:rPr>
          <w:rFonts w:ascii="楷体_GB2312" w:eastAsia="楷体_GB2312"/>
          <w:color w:val="auto"/>
          <w:sz w:val="24"/>
          <w:lang w:val="zh-CN"/>
          <w:highlight w:val="auto"/>
        </w:rPr>
      </w:pPr>
      <w:r>
        <w:rPr>
          <w:rFonts w:ascii="楷体_GB2312" w:eastAsia="楷体_GB2312" w:hint="eastAsia"/>
          <w:color w:val="auto"/>
          <w:sz w:val="24"/>
          <w:lang w:val="zh-CN"/>
          <w:highlight w:val="auto"/>
        </w:rPr>
        <w:t>2.在所供商品交付使用时，供方必须向使用方提供产品说明书、质量保证书、保修卡等必须具备的相关资料和必备的附件，</w:t>
      </w:r>
      <w:r>
        <w:rPr>
          <w:rFonts w:ascii="楷体_GB2312" w:eastAsia="楷体_GB2312" w:hint="eastAsia"/>
          <w:color w:val="auto"/>
          <w:sz w:val="24"/>
          <w:highlight w:val="auto"/>
        </w:rPr>
        <w:t>并对使用单位人员进行培训</w:t>
      </w:r>
      <w:r>
        <w:rPr>
          <w:rFonts w:ascii="楷体_GB2312" w:eastAsia="楷体_GB2312" w:hint="eastAsia"/>
          <w:color w:val="auto"/>
          <w:sz w:val="24"/>
          <w:lang w:val="zh-CN"/>
          <w:highlight w:val="auto"/>
        </w:rPr>
        <w:t>。</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第六条</w:t>
      </w:r>
      <w:r>
        <w:rPr>
          <w:rFonts w:ascii="楷体_GB2312" w:eastAsia="楷体_GB2312" w:hint="eastAsia"/>
          <w:bCs/>
          <w:color w:val="auto"/>
          <w:sz w:val="24"/>
          <w:highlight w:val="auto"/>
        </w:rPr>
        <w:t xml:space="preserve"> </w:t>
      </w:r>
      <w:r>
        <w:rPr>
          <w:rFonts w:ascii="楷体_GB2312" w:eastAsia="楷体_GB2312" w:hint="eastAsia"/>
          <w:b/>
          <w:bCs/>
          <w:color w:val="auto"/>
          <w:sz w:val="24"/>
          <w:highlight w:val="auto"/>
        </w:rPr>
        <w:t>验收</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1</w:t>
      </w:r>
      <w:r>
        <w:rPr>
          <w:rFonts w:ascii="楷体_GB2312" w:eastAsia="楷体_GB2312"/>
          <w:bCs/>
          <w:color w:val="auto"/>
          <w:sz w:val="24"/>
          <w:highlight w:val="auto"/>
        </w:rPr>
        <w:t>.</w:t>
      </w:r>
      <w:r>
        <w:rPr>
          <w:rFonts w:ascii="楷体_GB2312" w:eastAsia="楷体_GB2312" w:hint="eastAsia"/>
          <w:bCs/>
          <w:color w:val="auto"/>
          <w:sz w:val="24"/>
          <w:highlight w:val="auto"/>
        </w:rPr>
        <w:t xml:space="preserve">供方将所供商品运至交货地点并安装调试完毕后，由需方负责在 30 </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内按验收标准进行验收。如发现质量问题，双方另行约定再次验收条件及时间。因此导致逾期的，供方按照第九条第2款约定承担逾期违约责任，双方另有约定的除外。</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2</w:t>
      </w:r>
      <w:r>
        <w:rPr>
          <w:rFonts w:ascii="楷体_GB2312" w:eastAsia="楷体_GB2312"/>
          <w:bCs/>
          <w:color w:val="auto"/>
          <w:sz w:val="24"/>
          <w:highlight w:val="auto"/>
        </w:rPr>
        <w:t>.</w:t>
      </w:r>
      <w:r>
        <w:rPr>
          <w:rFonts w:ascii="楷体_GB2312" w:eastAsia="楷体_GB2312" w:hint="eastAsia"/>
          <w:bCs/>
          <w:color w:val="auto"/>
          <w:sz w:val="24"/>
          <w:highlight w:val="auto"/>
        </w:rPr>
        <w:t>验收标准</w:t>
      </w:r>
      <w:r>
        <w:rPr>
          <w:rFonts w:ascii="楷体_GB2312" w:eastAsia="楷体_GB2312" w:hint="eastAsia"/>
          <w:color w:val="auto"/>
          <w:sz w:val="24"/>
          <w:highlight w:val="auto"/>
        </w:rPr>
        <w:t>详见第一条所述之相关文件。</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3</w:t>
      </w:r>
      <w:r>
        <w:rPr>
          <w:rFonts w:ascii="楷体_GB2312" w:eastAsia="楷体_GB2312"/>
          <w:bCs/>
          <w:color w:val="auto"/>
          <w:sz w:val="24"/>
          <w:highlight w:val="auto"/>
        </w:rPr>
        <w:t>.</w:t>
      </w:r>
      <w:r>
        <w:rPr>
          <w:rFonts w:ascii="楷体_GB2312" w:eastAsia="楷体_GB2312" w:hint="eastAsia"/>
          <w:bCs/>
          <w:color w:val="auto"/>
          <w:sz w:val="24"/>
          <w:highlight w:val="auto"/>
        </w:rPr>
        <w:t>货物经需方验收合格后，货物所有权及货物毁损灭失的风险始转</w:t>
      </w:r>
      <w:r>
        <w:rPr>
          <w:rFonts w:ascii="楷体_GB2312" w:eastAsia="楷体_GB2312"/>
          <w:bCs/>
          <w:color w:val="auto"/>
          <w:sz w:val="24"/>
          <w:highlight w:val="auto"/>
        </w:rPr>
        <w:t>移给</w:t>
      </w:r>
      <w:r>
        <w:rPr>
          <w:rFonts w:ascii="楷体_GB2312" w:eastAsia="楷体_GB2312" w:hint="eastAsia"/>
          <w:bCs/>
          <w:color w:val="auto"/>
          <w:sz w:val="24"/>
          <w:highlight w:val="auto"/>
        </w:rPr>
        <w:t>需方。</w:t>
      </w:r>
    </w:p>
    <w:p>
      <w:pPr>
        <w:spacing w:line="360" w:lineRule="auto"/>
        <w:ind w:firstLineChars="200" w:firstLine="480"/>
        <w:rPr>
          <w:rFonts w:ascii="楷体_GB2312" w:eastAsia="楷体_GB2312"/>
          <w:bCs/>
          <w:color w:val="auto"/>
          <w:sz w:val="24"/>
          <w:highlight w:val="auto"/>
        </w:rPr>
      </w:pPr>
      <w:r>
        <w:rPr>
          <w:rFonts w:ascii="楷体_GB2312" w:eastAsia="楷体_GB2312" w:hint="eastAsia"/>
          <w:bCs/>
          <w:color w:val="auto"/>
          <w:sz w:val="24"/>
          <w:highlight w:val="auto"/>
        </w:rPr>
        <w:t>4.如货物确实</w:t>
      </w:r>
      <w:r>
        <w:rPr>
          <w:rFonts w:ascii="楷体_GB2312" w:eastAsia="楷体_GB2312"/>
          <w:bCs/>
          <w:color w:val="auto"/>
          <w:sz w:val="24"/>
          <w:highlight w:val="auto"/>
        </w:rPr>
        <w:t>内在</w:t>
      </w:r>
      <w:r>
        <w:rPr>
          <w:rFonts w:ascii="楷体_GB2312" w:eastAsia="楷体_GB2312" w:hint="eastAsia"/>
          <w:bCs/>
          <w:color w:val="auto"/>
          <w:sz w:val="24"/>
          <w:highlight w:val="auto"/>
        </w:rPr>
        <w:t>存在</w:t>
      </w:r>
      <w:r>
        <w:rPr>
          <w:rFonts w:ascii="楷体_GB2312" w:eastAsia="楷体_GB2312"/>
          <w:bCs/>
          <w:color w:val="auto"/>
          <w:sz w:val="24"/>
          <w:highlight w:val="auto"/>
        </w:rPr>
        <w:t>质量</w:t>
      </w:r>
      <w:r>
        <w:rPr>
          <w:rFonts w:ascii="楷体_GB2312" w:eastAsia="楷体_GB2312" w:hint="eastAsia"/>
          <w:bCs/>
          <w:color w:val="auto"/>
          <w:sz w:val="24"/>
          <w:highlight w:val="auto"/>
        </w:rPr>
        <w:t>瑕疵，即使通过了本条第1款的验收，需方仍有权在</w:t>
      </w:r>
      <w:r>
        <w:rPr>
          <w:rFonts w:ascii="楷体_GB2312" w:eastAsia="楷体_GB2312"/>
          <w:bCs/>
          <w:color w:val="auto"/>
          <w:sz w:val="24"/>
          <w:highlight w:val="auto"/>
        </w:rPr>
        <w:t>任何时间包括质保期</w:t>
      </w:r>
      <w:r>
        <w:rPr>
          <w:rFonts w:ascii="楷体_GB2312" w:eastAsia="楷体_GB2312" w:hint="eastAsia"/>
          <w:bCs/>
          <w:color w:val="auto"/>
          <w:sz w:val="24"/>
          <w:highlight w:val="auto"/>
        </w:rPr>
        <w:t>内或质保期满</w:t>
      </w:r>
      <w:r>
        <w:rPr>
          <w:rFonts w:ascii="楷体_GB2312" w:eastAsia="楷体_GB2312"/>
          <w:bCs/>
          <w:color w:val="auto"/>
          <w:sz w:val="24"/>
          <w:highlight w:val="auto"/>
        </w:rPr>
        <w:t>后</w:t>
      </w:r>
      <w:r>
        <w:rPr>
          <w:rFonts w:ascii="楷体_GB2312" w:eastAsia="楷体_GB2312" w:hint="eastAsia"/>
          <w:bCs/>
          <w:color w:val="auto"/>
          <w:sz w:val="24"/>
          <w:highlight w:val="auto"/>
        </w:rPr>
        <w:t>使用寿命期内提出异议，不受30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验收时间的限制，如果查明确实属于内在质量存在问题，供方仍应对此负责。</w:t>
      </w:r>
    </w:p>
    <w:p>
      <w:pPr>
        <w:spacing w:line="360" w:lineRule="auto"/>
        <w:rPr>
          <w:rFonts w:ascii="楷体_GB2312" w:eastAsia="楷体_GB2312"/>
          <w:bCs/>
          <w:color w:val="auto"/>
          <w:sz w:val="24"/>
          <w:highlight w:val="auto"/>
        </w:rPr>
      </w:pPr>
      <w:r>
        <w:rPr>
          <w:rFonts w:ascii="楷体_GB2312" w:eastAsia="楷体_GB2312" w:hint="eastAsia"/>
          <w:b/>
          <w:bCs/>
          <w:color w:val="auto"/>
          <w:sz w:val="24"/>
          <w:highlight w:val="auto"/>
        </w:rPr>
        <w:t>第七条</w:t>
      </w:r>
      <w:r>
        <w:rPr>
          <w:rFonts w:ascii="楷体_GB2312" w:eastAsia="楷体_GB2312" w:hint="eastAsia"/>
          <w:bCs/>
          <w:color w:val="auto"/>
          <w:sz w:val="24"/>
          <w:highlight w:val="auto"/>
        </w:rPr>
        <w:t xml:space="preserve"> </w:t>
      </w:r>
      <w:r>
        <w:rPr>
          <w:rFonts w:ascii="楷体_GB2312" w:eastAsia="楷体_GB2312" w:hint="eastAsia"/>
          <w:b/>
          <w:bCs/>
          <w:color w:val="auto"/>
          <w:sz w:val="24"/>
          <w:highlight w:val="auto"/>
        </w:rPr>
        <w:t>保证金及货款</w:t>
      </w:r>
      <w:r>
        <w:rPr>
          <w:rFonts w:ascii="楷体_GB2312" w:eastAsia="楷体_GB2312" w:hint="eastAsia"/>
          <w:color w:val="auto"/>
          <w:sz w:val="24"/>
          <w:highlight w:val="auto"/>
        </w:rPr>
        <w:t>（按照采购文件中确认的付款条款填写）</w:t>
      </w:r>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1.供方应在合同签订时向采购方缴纳履约保证金。本合同履约保证金为合同总价的</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%（确定采购文件时，可选10%及以下）。</w:t>
      </w:r>
    </w:p>
    <w:p>
      <w:pPr>
        <w:pStyle w:val="3"/>
        <w:numPr>
          <w:ilvl w:val="0"/>
          <w:numId w:val="0"/>
        </w:numPr>
        <w:tabs>
          <w:tab w:val="clear" w:pos="709"/>
        </w:tabs>
        <w:spacing w:line="360" w:lineRule="auto"/>
        <w:ind w:leftChars="50" w:left="105" w:firstLineChars="150" w:firstLine="360"/>
        <w:rPr>
          <w:rFonts w:ascii="楷体_GB2312" w:eastAsia="楷体_GB2312"/>
          <w:color w:val="auto"/>
          <w:kern w:val="2"/>
          <w:sz w:val="24"/>
          <w:szCs w:val="24"/>
          <w:highlight w:val="auto"/>
        </w:rPr>
      </w:pPr>
      <w:bookmarkStart w:id="62" w:name="_Toc26301"/>
      <w:r>
        <w:rPr>
          <w:rFonts w:ascii="楷体_GB2312" w:eastAsia="楷体_GB2312" w:hint="eastAsia"/>
          <w:color w:val="auto"/>
          <w:kern w:val="2"/>
          <w:sz w:val="24"/>
          <w:szCs w:val="24"/>
          <w:highlight w:val="auto"/>
        </w:rPr>
        <w:t>2.需方向供方的付款计划安排如下（确定采购文件时，可修改）：</w:t>
      </w:r>
      <w:bookmarkEnd w:id="62"/>
    </w:p>
    <w:p>
      <w:pPr>
        <w:numPr>
          <w:ilvl w:val="0"/>
          <w:numId w:val="6"/>
        </w:numPr>
        <w:spacing w:line="360" w:lineRule="auto"/>
        <w:rPr>
          <w:rFonts w:ascii="楷体_GB2312" w:eastAsia="楷体_GB2312"/>
          <w:color w:val="auto"/>
          <w:sz w:val="24"/>
          <w:highlight w:val="auto"/>
        </w:rPr>
      </w:pPr>
      <w:r>
        <w:rPr>
          <w:rFonts w:ascii="楷体_GB2312" w:eastAsia="楷体_GB2312" w:hint="eastAsia"/>
          <w:color w:val="auto"/>
          <w:sz w:val="24"/>
          <w:highlight w:val="auto"/>
        </w:rPr>
        <w:t>第一期款：</w:t>
      </w:r>
      <w:r>
        <w:rPr>
          <w:rFonts w:ascii="楷体_GB2312" w:eastAsia="楷体_GB2312" w:hint="eastAsia"/>
          <w:color w:val="auto"/>
          <w:sz w:val="24"/>
          <w:u w:val="single"/>
          <w:highlight w:val="auto"/>
        </w:rPr>
        <w:t>合同生效、具备实施条件且财政资金下达</w:t>
      </w:r>
      <w:r>
        <w:rPr>
          <w:rFonts w:ascii="楷体_GB2312" w:eastAsia="楷体_GB2312" w:hint="eastAsia"/>
          <w:color w:val="auto"/>
          <w:sz w:val="24"/>
          <w:highlight w:val="auto"/>
        </w:rPr>
        <w:t>后，支付至合同金额</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w:t>
      </w:r>
    </w:p>
    <w:p>
      <w:pPr>
        <w:numPr>
          <w:ilvl w:val="0"/>
          <w:numId w:val="6"/>
        </w:numPr>
        <w:spacing w:line="360" w:lineRule="auto"/>
        <w:rPr>
          <w:rFonts w:ascii="楷体_GB2312" w:eastAsia="楷体_GB2312"/>
          <w:color w:val="auto"/>
          <w:sz w:val="24"/>
          <w:highlight w:val="auto"/>
        </w:rPr>
      </w:pPr>
      <w:r>
        <w:rPr>
          <w:rFonts w:ascii="楷体_GB2312" w:eastAsia="楷体_GB2312" w:hint="eastAsia"/>
          <w:color w:val="auto"/>
          <w:sz w:val="24"/>
          <w:highlight w:val="auto"/>
        </w:rPr>
        <w:t>第N期款：</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后，支付至合同金额</w:t>
      </w:r>
      <w:r>
        <w:rPr>
          <w:rFonts w:ascii="楷体_GB2312" w:eastAsia="楷体_GB2312" w:hint="eastAsia"/>
          <w:color w:val="auto"/>
          <w:sz w:val="24"/>
          <w:u w:val="single"/>
          <w:highlight w:val="auto"/>
        </w:rPr>
        <w:t xml:space="preserve">    </w:t>
      </w:r>
      <w:r>
        <w:rPr>
          <w:rFonts w:ascii="楷体_GB2312" w:eastAsia="楷体_GB2312" w:hint="eastAsia"/>
          <w:color w:val="auto"/>
          <w:sz w:val="24"/>
          <w:highlight w:val="auto"/>
        </w:rPr>
        <w:t>%；</w:t>
      </w:r>
    </w:p>
    <w:p>
      <w:pPr>
        <w:pStyle w:val="21"/>
        <w:spacing w:line="360" w:lineRule="auto"/>
        <w:ind w:firstLine="420"/>
        <w:rPr>
          <w:rFonts w:ascii="楷体_GB2312" w:eastAsia="楷体_GB2312" w:cs="楷体_GB2312"/>
          <w:color w:val="auto"/>
          <w:sz w:val="24"/>
          <w:highlight w:val="auto"/>
        </w:rPr>
      </w:pPr>
      <w:r>
        <w:rPr>
          <w:rFonts w:ascii="楷体_GB2312" w:eastAsia="楷体_GB2312" w:cs="楷体_GB2312"/>
          <w:color w:val="auto"/>
          <w:sz w:val="24"/>
          <w:highlight w:val="auto"/>
        </w:rPr>
        <w:t>特殊支付方式：</w:t>
      </w:r>
      <w:r>
        <w:rPr>
          <w:rFonts w:ascii="楷体_GB2312" w:eastAsia="楷体_GB2312" w:hint="eastAsia"/>
          <w:color w:val="auto"/>
          <w:sz w:val="24"/>
          <w:u w:val="single"/>
          <w:highlight w:val="auto"/>
        </w:rPr>
        <w:t xml:space="preserve">                              </w:t>
      </w:r>
    </w:p>
    <w:p>
      <w:pPr>
        <w:pStyle w:val="15"/>
        <w:spacing w:line="360" w:lineRule="auto"/>
        <w:ind w:firstLine="480"/>
        <w:rPr>
          <w:color w:val="auto"/>
          <w:sz w:val="24"/>
          <w:highlight w:val="auto"/>
        </w:rPr>
      </w:pPr>
      <w:r>
        <w:rPr>
          <w:rFonts w:hint="eastAsia"/>
          <w:color w:val="auto"/>
          <w:sz w:val="24"/>
          <w:highlight w:val="auto"/>
        </w:rPr>
        <w:t>货物：合同项内所有货物</w:t>
      </w:r>
    </w:p>
    <w:p>
      <w:pPr>
        <w:pStyle w:val="15"/>
        <w:spacing w:line="360" w:lineRule="auto"/>
        <w:ind w:firstLine="480"/>
        <w:rPr>
          <w:color w:val="auto"/>
          <w:sz w:val="24"/>
          <w:highlight w:val="auto"/>
        </w:rPr>
      </w:pPr>
      <w:r>
        <w:rPr>
          <w:rFonts w:hint="eastAsia"/>
          <w:color w:val="auto"/>
          <w:sz w:val="24"/>
          <w:highlight w:val="auto"/>
        </w:rPr>
        <w:t>货物原产地和制造商：</w:t>
      </w:r>
    </w:p>
    <w:p>
      <w:pPr>
        <w:pStyle w:val="15"/>
        <w:spacing w:line="360" w:lineRule="auto"/>
        <w:ind w:firstLine="480"/>
        <w:rPr>
          <w:color w:val="auto"/>
          <w:sz w:val="24"/>
          <w:highlight w:val="auto"/>
        </w:rPr>
      </w:pPr>
      <w:r>
        <w:rPr>
          <w:rFonts w:hint="eastAsia"/>
          <w:color w:val="auto"/>
          <w:sz w:val="24"/>
          <w:highlight w:val="auto"/>
        </w:rPr>
        <w:t>运输方式、装运港和目的港：</w:t>
      </w:r>
    </w:p>
    <w:p>
      <w:pPr>
        <w:pStyle w:val="15"/>
        <w:spacing w:line="360" w:lineRule="auto"/>
        <w:ind w:firstLine="480"/>
        <w:rPr>
          <w:color w:val="auto"/>
          <w:sz w:val="24"/>
          <w:highlight w:val="auto"/>
        </w:rPr>
      </w:pPr>
      <w:r>
        <w:rPr>
          <w:rFonts w:hint="eastAsia"/>
          <w:color w:val="auto"/>
          <w:sz w:val="24"/>
          <w:highlight w:val="auto"/>
        </w:rPr>
        <w:t>境外公司名称：</w:t>
      </w:r>
    </w:p>
    <w:p>
      <w:pPr>
        <w:pStyle w:val="15"/>
        <w:spacing w:line="360" w:lineRule="auto"/>
        <w:ind w:firstLine="480"/>
        <w:rPr>
          <w:color w:val="auto"/>
          <w:sz w:val="24"/>
          <w:highlight w:val="auto"/>
        </w:rPr>
      </w:pPr>
      <w:r>
        <w:rPr>
          <w:rFonts w:hint="eastAsia"/>
          <w:color w:val="auto"/>
          <w:sz w:val="24"/>
          <w:highlight w:val="auto"/>
        </w:rPr>
        <w:t>联系人姓名:</w:t>
      </w:r>
    </w:p>
    <w:p>
      <w:pPr>
        <w:pStyle w:val="15"/>
        <w:spacing w:line="360" w:lineRule="auto"/>
        <w:ind w:firstLine="480"/>
        <w:rPr>
          <w:color w:val="auto"/>
          <w:sz w:val="24"/>
          <w:highlight w:val="auto"/>
        </w:rPr>
      </w:pPr>
      <w:r>
        <w:rPr>
          <w:rFonts w:hint="eastAsia"/>
          <w:color w:val="auto"/>
          <w:sz w:val="24"/>
          <w:highlight w:val="auto"/>
        </w:rPr>
        <w:t>联系人电话:</w:t>
      </w:r>
    </w:p>
    <w:p>
      <w:pPr>
        <w:pStyle w:val="15"/>
        <w:spacing w:line="360" w:lineRule="auto"/>
        <w:ind w:firstLine="480"/>
        <w:rPr>
          <w:color w:val="auto"/>
          <w:sz w:val="24"/>
          <w:highlight w:val="auto"/>
        </w:rPr>
      </w:pPr>
      <w:r>
        <w:rPr>
          <w:rFonts w:hint="eastAsia"/>
          <w:color w:val="auto"/>
          <w:sz w:val="24"/>
          <w:highlight w:val="auto"/>
        </w:rPr>
        <w:t>联系人Email:</w:t>
      </w:r>
    </w:p>
    <w:p>
      <w:pPr>
        <w:pStyle w:val="3"/>
        <w:numPr>
          <w:ilvl w:val="0"/>
          <w:numId w:val="0"/>
        </w:numPr>
        <w:tabs>
          <w:tab w:val="clear" w:pos="709"/>
        </w:tabs>
        <w:spacing w:line="360" w:lineRule="auto"/>
        <w:ind w:leftChars="50" w:left="105" w:firstLineChars="150" w:firstLine="360"/>
        <w:rPr>
          <w:rFonts w:ascii="楷体_GB2312" w:eastAsia="楷体_GB2312"/>
          <w:color w:val="auto"/>
          <w:sz w:val="24"/>
          <w:highlight w:val="auto"/>
        </w:rPr>
      </w:pPr>
      <w:bookmarkStart w:id="63" w:name="_Toc2806"/>
      <w:r>
        <w:rPr>
          <w:rFonts w:ascii="楷体_GB2312" w:eastAsia="楷体_GB2312" w:hint="eastAsia"/>
          <w:color w:val="auto"/>
          <w:kern w:val="2"/>
          <w:sz w:val="24"/>
          <w:szCs w:val="24"/>
          <w:highlight w:val="auto"/>
        </w:rPr>
        <w:t>需方付款的方式按嘉兴海关综合技术服务中心与供方签订的代理协议</w:t>
      </w:r>
      <w:r>
        <w:rPr>
          <w:rFonts w:ascii="楷体_GB2312" w:eastAsia="楷体_GB2312"/>
          <w:color w:val="auto"/>
          <w:kern w:val="2"/>
          <w:sz w:val="24"/>
          <w:szCs w:val="24"/>
          <w:highlight w:val="auto"/>
        </w:rPr>
        <w:t>执行</w:t>
      </w:r>
      <w:r>
        <w:rPr>
          <w:rFonts w:ascii="楷体_GB2312" w:eastAsia="楷体_GB2312" w:hint="eastAsia"/>
          <w:color w:val="auto"/>
          <w:kern w:val="2"/>
          <w:sz w:val="24"/>
          <w:szCs w:val="24"/>
          <w:highlight w:val="auto"/>
        </w:rPr>
        <w:t>。</w:t>
      </w:r>
      <w:bookmarkEnd w:id="63"/>
    </w:p>
    <w:p>
      <w:pPr>
        <w:pStyle w:val="3"/>
        <w:numPr>
          <w:ilvl w:val="0"/>
          <w:numId w:val="0"/>
        </w:numPr>
        <w:tabs>
          <w:tab w:val="clear" w:pos="709"/>
        </w:tabs>
        <w:spacing w:line="360" w:lineRule="auto"/>
        <w:ind w:leftChars="50" w:left="105" w:firstLineChars="150" w:firstLine="360"/>
        <w:rPr>
          <w:rFonts w:ascii="楷体_GB2312" w:eastAsia="楷体_GB2312"/>
          <w:color w:val="auto"/>
          <w:kern w:val="2"/>
          <w:sz w:val="24"/>
          <w:szCs w:val="24"/>
          <w:highlight w:val="auto"/>
        </w:rPr>
      </w:pPr>
      <w:bookmarkStart w:id="64" w:name="_Toc345"/>
      <w:r>
        <w:rPr>
          <w:rFonts w:ascii="楷体_GB2312" w:eastAsia="楷体_GB2312" w:hint="eastAsia"/>
          <w:bCs/>
          <w:color w:val="auto"/>
          <w:sz w:val="24"/>
          <w:highlight w:val="auto"/>
        </w:rPr>
        <w:t>4.</w:t>
      </w:r>
      <w:r>
        <w:rPr>
          <w:rFonts w:ascii="楷体_GB2312" w:eastAsia="楷体_GB2312" w:hint="eastAsia"/>
          <w:color w:val="auto"/>
          <w:kern w:val="2"/>
          <w:sz w:val="24"/>
          <w:szCs w:val="24"/>
          <w:highlight w:val="auto"/>
        </w:rPr>
        <w:t>供方须提供增值税专用发票、验收合格报告和原产地证明等材料。因供方未按约及时提供相关材料导致需方迟延付款的，不视为需方逾期付款，供方不得因此向需方主张承担逾期付款违约责任。</w:t>
      </w:r>
      <w:bookmarkEnd w:id="64"/>
    </w:p>
    <w:p>
      <w:pPr>
        <w:autoSpaceDE w:val="0"/>
        <w:autoSpaceDN w:val="0"/>
        <w:adjustRightInd w:val="0"/>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5.履约保证金（如有）在货物验收合格后在无质量及服务问题的情况下由供方发起办理无息退还的手续。</w:t>
      </w:r>
    </w:p>
    <w:p>
      <w:pPr>
        <w:tabs>
          <w:tab w:val="left" w:pos="360"/>
        </w:tabs>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第八条 质保期及售后服务承诺</w:t>
      </w:r>
    </w:p>
    <w:p>
      <w:pPr>
        <w:pStyle w:val="21"/>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详见第一条所述之相关文件。</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第九条 违约处理</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1.如供方提供的货物全部或部分验收不合格，需方有权解除本合同，供方应在接到需方的通知后10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内将不合格的货物撤出现场，并向需方支付不合格货物总价的20％作为违约金。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2.供方逾期供货，自逾期之日起，每天应向需方支付合同总价万分之五的违约金。如逾期超过30</w:t>
      </w:r>
      <w:r>
        <w:rPr>
          <w:rFonts w:ascii="楷体_GB2312" w:eastAsia="楷体_GB2312" w:hint="eastAsia"/>
          <w:bCs/>
          <w:color w:val="auto"/>
          <w:sz w:val="24"/>
          <w:lang w:val="en-US" w:eastAsia="zh-CN"/>
          <w:highlight w:val="auto"/>
        </w:rPr>
        <w:t>日历天</w:t>
      </w:r>
      <w:r>
        <w:rPr>
          <w:rFonts w:ascii="楷体_GB2312" w:eastAsia="楷体_GB2312" w:hint="eastAsia"/>
          <w:bCs/>
          <w:color w:val="auto"/>
          <w:sz w:val="24"/>
          <w:highlight w:val="auto"/>
        </w:rPr>
        <w:t>，需方有权解除本合同，供方还应向需方支付合同总价百分之五的违约金。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3.需方逾期付款，自逾期之日起，每天应向供方支付欠付总价万分之五的违约金。</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4.供方保证其交付的全部货物不会侵犯任何第三方的著作权、商标权、专利权等其他合法权利，否则，供方应承担全部法律责任。如需方因此遭受任何第三方的追索、索赔或诉讼的，则因此加诸于需方的一切责任及全部债务均由供方承担并清偿，供方并愿意赔偿需方因此受到的全部损失。</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5.供方或供方人员违反本合同约定的任何义务的，应承担需方因实现权利所支付的所有费用，包括但不限于调查取证费、鉴定费、公证费、评估费、担保费、律师费、仲裁费/诉讼费、公告费、保全费、执行费、律师代理费、差旅费等。</w:t>
      </w:r>
    </w:p>
    <w:p>
      <w:pPr>
        <w:tabs>
          <w:tab w:val="left" w:pos="360"/>
        </w:tabs>
        <w:spacing w:line="360" w:lineRule="auto"/>
        <w:ind w:firstLineChars="150" w:firstLine="360"/>
        <w:rPr>
          <w:rFonts w:ascii="楷体_GB2312" w:eastAsia="楷体_GB2312"/>
          <w:bCs/>
          <w:color w:val="auto"/>
          <w:sz w:val="24"/>
          <w:highlight w:val="auto"/>
        </w:rPr>
      </w:pPr>
      <w:r>
        <w:rPr>
          <w:rFonts w:ascii="楷体_GB2312" w:eastAsia="楷体_GB2312" w:hint="eastAsia"/>
          <w:bCs/>
          <w:color w:val="auto"/>
          <w:sz w:val="24"/>
          <w:highlight w:val="auto"/>
        </w:rPr>
        <w:t>6.供方存在违约情形的，需方有权从应付给供方的款项或供方交纳的保证金中直接扣除违约金、赔偿金等供方应付需方的全部费用。如保证金被扣减的，供方应在收到需方通知补足之日起3日内补足。</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第十条 其他约定事项</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1.需方负责</w:t>
      </w:r>
      <w:r>
        <w:rPr>
          <w:rFonts w:ascii="楷体_GB2312" w:eastAsia="楷体_GB2312"/>
          <w:color w:val="auto"/>
          <w:sz w:val="24"/>
          <w:highlight w:val="auto"/>
        </w:rPr>
        <w:t>按本合同第一条所述相应文本中的约定</w:t>
      </w:r>
      <w:r>
        <w:rPr>
          <w:rFonts w:ascii="楷体_GB2312" w:eastAsia="楷体_GB2312" w:hint="eastAsia"/>
          <w:color w:val="auto"/>
          <w:sz w:val="24"/>
          <w:highlight w:val="auto"/>
        </w:rPr>
        <w:t>提供货物的存放和现场施工条件（电、水、工作时间及工具和材料的存放房间）。</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2.供方应指定专人负责与需方的联络和安装现场协调事宜。</w:t>
      </w:r>
    </w:p>
    <w:p>
      <w:pPr>
        <w:tabs>
          <w:tab w:val="left" w:pos="360"/>
        </w:tabs>
        <w:spacing w:line="360" w:lineRule="auto"/>
        <w:ind w:firstLineChars="150" w:firstLine="360"/>
        <w:rPr>
          <w:rFonts w:ascii="楷体_GB2312" w:eastAsia="楷体_GB2312"/>
          <w:color w:val="auto"/>
          <w:sz w:val="24"/>
          <w:highlight w:val="auto"/>
        </w:rPr>
      </w:pPr>
      <w:r>
        <w:rPr>
          <w:rFonts w:ascii="楷体_GB2312" w:eastAsia="楷体_GB2312"/>
          <w:color w:val="auto"/>
          <w:sz w:val="24"/>
          <w:highlight w:val="auto"/>
        </w:rPr>
        <w:t>3.</w:t>
      </w:r>
      <w:r>
        <w:rPr>
          <w:rFonts w:ascii="楷体_GB2312" w:eastAsia="楷体_GB2312" w:hint="eastAsia"/>
          <w:color w:val="auto"/>
          <w:sz w:val="24"/>
          <w:highlight w:val="auto"/>
        </w:rPr>
        <w:t xml:space="preserve"> 供方应当对在签订、履行本合同过程中知悉或获得的所有有关需方的信息、文件、资料、数据，以及需方提供的数据等信息（即“保密信息”）予以保密，未经需方书面同意，供方不得将保密信息用于本合同以外的目的，并不得将其泄漏给任何第三方。</w:t>
      </w:r>
    </w:p>
    <w:p>
      <w:pPr>
        <w:spacing w:line="360" w:lineRule="auto"/>
        <w:rPr>
          <w:rFonts w:ascii="楷体_GB2312" w:eastAsia="楷体_GB2312"/>
          <w:b/>
          <w:bCs/>
          <w:color w:val="auto"/>
          <w:sz w:val="24"/>
          <w:highlight w:val="auto"/>
        </w:rPr>
      </w:pPr>
      <w:r>
        <w:rPr>
          <w:rFonts w:ascii="楷体_GB2312" w:eastAsia="楷体_GB2312" w:hint="eastAsia"/>
          <w:b/>
          <w:bCs/>
          <w:color w:val="auto"/>
          <w:sz w:val="24"/>
          <w:highlight w:val="auto"/>
        </w:rPr>
        <w:t>第十一条 争议解决</w:t>
      </w:r>
    </w:p>
    <w:p>
      <w:pPr>
        <w:spacing w:line="360" w:lineRule="auto"/>
        <w:ind w:firstLineChars="200" w:firstLine="480"/>
        <w:rPr>
          <w:rFonts w:ascii="楷体_GB2312" w:eastAsia="楷体_GB2312"/>
          <w:color w:val="auto"/>
          <w:sz w:val="24"/>
          <w:highlight w:val="auto"/>
        </w:rPr>
      </w:pPr>
      <w:r>
        <w:rPr>
          <w:rFonts w:ascii="楷体_GB2312" w:eastAsia="楷体_GB2312" w:hint="eastAsia"/>
          <w:color w:val="auto"/>
          <w:sz w:val="24"/>
          <w:highlight w:val="auto"/>
        </w:rPr>
        <w:t>本合同，在发生所供商品的质量、售后服务等问题时，需方有权直接向供方索赔，签订必要的书面处理协议，如协商不成，双方均同意将本合同引起的争议提交杭州仲裁委员会仲裁解决，仲裁为终局。</w:t>
      </w:r>
    </w:p>
    <w:p>
      <w:pPr>
        <w:spacing w:line="360" w:lineRule="auto"/>
        <w:rPr>
          <w:rFonts w:ascii="楷体_GB2312" w:eastAsia="楷体_GB2312"/>
          <w:b/>
          <w:color w:val="auto"/>
          <w:sz w:val="24"/>
          <w:highlight w:val="auto"/>
        </w:rPr>
      </w:pPr>
      <w:r>
        <w:rPr>
          <w:rFonts w:ascii="楷体_GB2312" w:eastAsia="楷体_GB2312" w:hint="eastAsia"/>
          <w:b/>
          <w:color w:val="auto"/>
          <w:sz w:val="24"/>
          <w:highlight w:val="auto"/>
        </w:rPr>
        <w:t>第十</w:t>
      </w:r>
      <w:r>
        <w:rPr>
          <w:rFonts w:ascii="楷体_GB2312" w:eastAsia="楷体_GB2312" w:hint="eastAsia"/>
          <w:b/>
          <w:bCs/>
          <w:color w:val="auto"/>
          <w:sz w:val="24"/>
          <w:highlight w:val="auto"/>
        </w:rPr>
        <w:t>二</w:t>
      </w:r>
      <w:r>
        <w:rPr>
          <w:rFonts w:ascii="楷体_GB2312" w:eastAsia="楷体_GB2312" w:hint="eastAsia"/>
          <w:b/>
          <w:color w:val="auto"/>
          <w:sz w:val="24"/>
          <w:highlight w:val="auto"/>
        </w:rPr>
        <w:t>条 合同生效</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1.本合同正文及附件共</w:t>
      </w:r>
      <w:r>
        <w:rPr>
          <w:rFonts w:ascii="楷体_GB2312" w:eastAsia="楷体_GB2312" w:hint="eastAsia"/>
          <w:color w:val="auto"/>
          <w:sz w:val="24"/>
          <w:u w:val="single"/>
          <w:highlight w:val="auto"/>
        </w:rPr>
        <w:t xml:space="preserve"> </w:t>
      </w:r>
      <w:r>
        <w:rPr>
          <w:rFonts w:ascii="楷体_GB2312" w:eastAsia="楷体_GB2312"/>
          <w:color w:val="auto"/>
          <w:sz w:val="24"/>
          <w:u w:val="single"/>
          <w:highlight w:val="auto"/>
        </w:rPr>
        <w:t xml:space="preserve">  </w:t>
      </w:r>
      <w:r>
        <w:rPr>
          <w:rFonts w:ascii="楷体_GB2312" w:eastAsia="楷体_GB2312" w:hint="eastAsia"/>
          <w:color w:val="auto"/>
          <w:sz w:val="24"/>
          <w:highlight w:val="auto"/>
        </w:rPr>
        <w:t>页。</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2.本合同经供方、需方、采购方签字盖章后生效。</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t>3.本合同一式四份，供方、需方各执壹份、嘉兴海关综合技术服务中心采购中心执两份，具有同等法律效力。</w:t>
      </w:r>
    </w:p>
    <w:p>
      <w:pPr>
        <w:spacing w:line="360" w:lineRule="auto"/>
        <w:rPr>
          <w:rFonts w:ascii="楷体_GB2312" w:eastAsia="楷体_GB2312"/>
          <w:b/>
          <w:color w:val="auto"/>
          <w:sz w:val="24"/>
          <w:highlight w:val="auto"/>
        </w:rPr>
      </w:pPr>
      <w:r>
        <w:rPr>
          <w:rFonts w:ascii="楷体_GB2312" w:eastAsia="楷体_GB2312" w:hint="eastAsia"/>
          <w:b/>
          <w:color w:val="auto"/>
          <w:sz w:val="24"/>
          <w:highlight w:val="auto"/>
        </w:rPr>
        <w:t>第十三条 合同公示</w:t>
      </w:r>
    </w:p>
    <w:p>
      <w:pPr>
        <w:spacing w:line="360" w:lineRule="auto"/>
        <w:ind w:firstLine="420"/>
        <w:rPr>
          <w:rFonts w:ascii="楷体_GB2312" w:eastAsia="楷体_GB2312"/>
          <w:color w:val="auto"/>
          <w:sz w:val="24"/>
          <w:highlight w:val="auto"/>
        </w:rPr>
      </w:pPr>
      <w:r>
        <w:rPr>
          <w:rFonts w:ascii="楷体_GB2312" w:eastAsia="楷体_GB2312" w:hint="eastAsia"/>
          <w:color w:val="auto"/>
          <w:sz w:val="24"/>
          <w:highlight w:val="auto"/>
        </w:rPr>
        <w:t>双方同意，本合同及其附件，将根据要求进行公示。</w:t>
      </w:r>
    </w:p>
    <w:p>
      <w:pPr>
        <w:pStyle w:val="21"/>
        <w:spacing w:line="360" w:lineRule="auto"/>
        <w:jc w:val="center"/>
        <w:rPr>
          <w:rFonts w:eastAsia="楷体_GB2312"/>
          <w:color w:val="auto"/>
          <w:highlight w:val="auto"/>
        </w:rPr>
      </w:pPr>
      <w:r>
        <w:rPr>
          <w:rFonts w:ascii="楷体_GB2312" w:eastAsia="楷体_GB2312" w:hint="eastAsia"/>
          <w:color w:val="auto"/>
          <w:sz w:val="24"/>
          <w:highlight w:val="auto"/>
        </w:rPr>
        <w:t>--以下无正文，转签章页--</w:t>
      </w:r>
    </w:p>
    <w:p>
      <w:pPr>
        <w:spacing w:line="360" w:lineRule="auto"/>
        <w:ind w:firstLineChars="150" w:firstLine="360"/>
        <w:rPr>
          <w:rFonts w:ascii="楷体_GB2312" w:eastAsia="楷体_GB2312"/>
          <w:color w:val="auto"/>
          <w:sz w:val="24"/>
          <w:highlight w:val="auto"/>
        </w:rPr>
      </w:pPr>
      <w:r>
        <w:rPr>
          <w:rFonts w:ascii="楷体_GB2312" w:eastAsia="楷体_GB2312" w:hint="eastAsia"/>
          <w:color w:val="auto"/>
          <w:sz w:val="24"/>
          <w:highlight w:val="auto"/>
        </w:rPr>
        <w:br w:type="page"/>
        <w:t>本页无正文，为《货物采购合同》签署页</w:t>
      </w:r>
    </w:p>
    <w:tbl>
      <w:tblPr>
        <w:jc w:val="left"/>
        <w:tblInd w:w="468" w:type="dxa"/>
        <w:tblW w:w="828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175"/>
        <w:gridCol w:w="4105"/>
      </w:tblGrid>
      <w:tr>
        <w:trPr>
          <w:trHeight w:val="632"/>
        </w:trPr>
        <w:tc>
          <w:tcPr>
            <w:tcW w:w="417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采购方：</w:t>
            </w: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（嘉兴海关综合技术服务中心）</w:t>
              <w:tab/>
              <w:tab/>
              <w:tab/>
              <w:tab/>
            </w:r>
          </w:p>
          <w:p>
            <w:pPr>
              <w:spacing w:line="360" w:lineRule="auto"/>
              <w:rPr>
                <w:rFonts w:ascii="楷体_GB2312" w:eastAsia="楷体_GB2312"/>
                <w:color w:val="auto"/>
                <w:sz w:val="24"/>
                <w:highlight w:val="auto"/>
              </w:rPr>
            </w:pPr>
          </w:p>
        </w:tc>
        <w:tc>
          <w:tcPr>
            <w:tcW w:w="410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供方：（公章或合同章）</w:t>
            </w:r>
          </w:p>
          <w:p>
            <w:pPr>
              <w:spacing w:line="360" w:lineRule="auto"/>
              <w:rPr>
                <w:rFonts w:ascii="楷体_GB2312" w:eastAsia="楷体_GB2312"/>
                <w:color w:val="auto"/>
                <w:sz w:val="24"/>
                <w:highlight w:val="auto"/>
              </w:rPr>
            </w:pPr>
          </w:p>
        </w:tc>
      </w:tr>
      <w:tr>
        <w:tc>
          <w:tcPr>
            <w:tcW w:w="417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授权代表：</w:t>
            </w:r>
          </w:p>
        </w:tc>
        <w:tc>
          <w:tcPr>
            <w:tcW w:w="410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法定代表人或授权代表：</w:t>
            </w:r>
          </w:p>
        </w:tc>
      </w:tr>
      <w:tr>
        <w:tc>
          <w:tcPr>
            <w:tcW w:w="417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w:t>
            </w:r>
          </w:p>
        </w:tc>
        <w:tc>
          <w:tcPr>
            <w:tcW w:w="4105" w:type="dxa"/>
          </w:tcPr>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w:t>
            </w:r>
          </w:p>
        </w:tc>
      </w:tr>
      <w:tr>
        <w:tc>
          <w:tcPr>
            <w:tcW w:w="4175" w:type="dxa"/>
          </w:tcPr>
          <w:p>
            <w:pPr>
              <w:spacing w:line="360" w:lineRule="auto"/>
              <w:rPr>
                <w:rFonts w:ascii="楷体_GB2312" w:eastAsia="楷体_GB2312"/>
                <w:color w:val="auto"/>
                <w:sz w:val="24"/>
                <w:highlight w:val="auto"/>
              </w:rPr>
            </w:pPr>
          </w:p>
          <w:p>
            <w:pPr>
              <w:spacing w:line="360" w:lineRule="auto"/>
              <w:rPr>
                <w:color w:val="auto"/>
                <w:highlight w:val="auto"/>
              </w:rPr>
            </w:pPr>
            <w:r>
              <w:rPr>
                <w:rFonts w:ascii="楷体_GB2312" w:eastAsia="楷体_GB2312" w:hint="eastAsia"/>
                <w:color w:val="auto"/>
                <w:sz w:val="24"/>
                <w:highlight w:val="auto"/>
              </w:rPr>
              <w:t>签字日期：    年     月    日</w:t>
            </w:r>
          </w:p>
        </w:tc>
        <w:tc>
          <w:tcPr>
            <w:tcW w:w="4105" w:type="dxa"/>
          </w:tcPr>
          <w:p>
            <w:pPr>
              <w:spacing w:line="360" w:lineRule="auto"/>
              <w:rPr>
                <w:rFonts w:ascii="楷体_GB2312" w:eastAsia="楷体_GB2312"/>
                <w:color w:val="auto"/>
                <w:sz w:val="24"/>
                <w:highlight w:val="auto"/>
              </w:rPr>
            </w:pPr>
          </w:p>
          <w:p>
            <w:pPr>
              <w:spacing w:line="360" w:lineRule="auto"/>
              <w:rPr>
                <w:rFonts w:ascii="楷体_GB2312" w:eastAsia="楷体_GB2312"/>
                <w:color w:val="auto"/>
                <w:sz w:val="24"/>
                <w:highlight w:val="auto"/>
              </w:rPr>
            </w:pPr>
            <w:r>
              <w:rPr>
                <w:rFonts w:ascii="楷体_GB2312" w:eastAsia="楷体_GB2312" w:hint="eastAsia"/>
                <w:color w:val="auto"/>
                <w:sz w:val="24"/>
                <w:highlight w:val="auto"/>
              </w:rPr>
              <w:t>签字日期：    年     月    日</w:t>
            </w:r>
          </w:p>
        </w:tc>
      </w:tr>
    </w:tbl>
    <w:p>
      <w:pPr>
        <w:pStyle w:val="21"/>
        <w:rPr>
          <w:color w:val="auto"/>
          <w:sz w:val="32"/>
          <w:szCs w:val="32"/>
          <w:highlight w:val="auto"/>
        </w:rPr>
      </w:pPr>
    </w:p>
    <w:p>
      <w:pPr>
        <w:rPr>
          <w:rFonts w:ascii="楷体_GB2312" w:eastAsia="楷体_GB2312"/>
          <w:bCs/>
          <w:color w:val="auto"/>
          <w:sz w:val="24"/>
          <w:highlight w:val="auto"/>
        </w:rPr>
      </w:pPr>
    </w:p>
    <w:p>
      <w:pPr>
        <w:rPr>
          <w:rFonts w:ascii="楷体_GB2312" w:eastAsia="楷体_GB2312"/>
          <w:bCs/>
          <w:color w:val="auto"/>
          <w:sz w:val="24"/>
          <w:highlight w:val="auto"/>
        </w:rPr>
      </w:pPr>
    </w:p>
    <w:p>
      <w:pPr>
        <w:rPr>
          <w:rFonts w:ascii="楷体_GB2312" w:eastAsia="楷体_GB2312"/>
          <w:bCs/>
          <w:color w:val="auto"/>
          <w:sz w:val="24"/>
          <w:highlight w:val="auto"/>
        </w:rPr>
      </w:pPr>
    </w:p>
    <w:p>
      <w:pPr>
        <w:autoSpaceDE w:val="0"/>
        <w:autoSpaceDN w:val="0"/>
        <w:adjustRightInd w:val="0"/>
        <w:ind w:right="-670"/>
        <w:rPr>
          <w:rFonts w:eastAsia="楷体_GB2312"/>
          <w:color w:val="auto"/>
          <w:sz w:val="28"/>
          <w:szCs w:val="28"/>
          <w:highlight w:val="auto"/>
        </w:rPr>
      </w:pPr>
    </w:p>
    <w:p>
      <w:pPr>
        <w:autoSpaceDE w:val="0"/>
        <w:autoSpaceDN w:val="0"/>
        <w:adjustRightInd w:val="0"/>
        <w:spacing w:line="540" w:lineRule="exact"/>
        <w:rPr>
          <w:rFonts w:eastAsia="楷体_GB2312"/>
          <w:color w:val="auto"/>
          <w:sz w:val="28"/>
          <w:szCs w:val="28"/>
          <w:lang w:val="zh-CN"/>
          <w:highlight w:val="auto"/>
        </w:rPr>
        <w:sectPr>
          <w:headerReference w:type="default" r:id="rId3"/>
          <w:footerReference w:type="default" r:id="rId4"/>
          <w:pgSz w:w="11906" w:h="16838"/>
          <w:pgMar w:top="1230" w:right="1800" w:bottom="1440" w:left="1800" w:header="851" w:footer="992" w:gutter="0"/>
          <w:docGrid w:type="lines" w:linePitch="312" w:charSpace="0"/>
        </w:sectPr>
      </w:pPr>
    </w:p>
    <w:p>
      <w:pPr>
        <w:autoSpaceDE w:val="0"/>
        <w:autoSpaceDN w:val="0"/>
        <w:adjustRightInd w:val="0"/>
        <w:ind w:right="-670"/>
        <w:rPr>
          <w:rFonts w:eastAsia="楷体_GB2312"/>
          <w:color w:val="auto"/>
          <w:sz w:val="28"/>
          <w:szCs w:val="28"/>
          <w:highlight w:val="auto"/>
        </w:rPr>
      </w:pPr>
      <w:r>
        <w:rPr>
          <w:rFonts w:eastAsia="楷体_GB2312" w:hint="eastAsia"/>
          <w:color w:val="auto"/>
          <w:sz w:val="28"/>
          <w:szCs w:val="28"/>
          <w:highlight w:val="auto"/>
        </w:rPr>
        <w:t>附件1</w:t>
      </w:r>
    </w:p>
    <w:p>
      <w:pPr>
        <w:autoSpaceDE w:val="0"/>
        <w:autoSpaceDN w:val="0"/>
        <w:adjustRightInd w:val="0"/>
        <w:ind w:left="540" w:firstLine="30"/>
        <w:jc w:val="left"/>
        <w:rPr>
          <w:rFonts w:eastAsia="楷体_GB2312"/>
          <w:color w:val="auto"/>
          <w:sz w:val="28"/>
          <w:szCs w:val="28"/>
          <w:u w:val="single"/>
          <w:highlight w:val="auto"/>
        </w:rPr>
      </w:pPr>
      <w:r>
        <w:rPr>
          <w:rFonts w:eastAsia="楷体_GB2312" w:hint="eastAsia"/>
          <w:b/>
          <w:color w:val="auto"/>
          <w:sz w:val="28"/>
          <w:szCs w:val="28"/>
          <w:lang w:val="zh-CN"/>
          <w:highlight w:val="auto"/>
        </w:rPr>
        <w:t>报价明细表</w:t>
      </w:r>
      <w:r>
        <w:rPr>
          <w:rFonts w:ascii="宋体" w:cs="宋体"/>
          <w:color w:val="auto"/>
          <w:szCs w:val="21"/>
          <w:highlight w:val="auto"/>
        </w:rPr>
        <w:t>（</w:t>
      </w:r>
      <w:r>
        <w:rPr>
          <w:rFonts w:ascii="宋体" w:cs="宋体" w:hint="eastAsia"/>
          <w:color w:val="auto"/>
          <w:szCs w:val="21"/>
          <w:highlight w:val="auto"/>
        </w:rPr>
        <w:t>单价不能为0。</w:t>
      </w:r>
      <w:r>
        <w:rPr>
          <w:rFonts w:ascii="宋体" w:cs="宋体"/>
          <w:color w:val="auto"/>
          <w:szCs w:val="21"/>
          <w:highlight w:val="auto"/>
        </w:rPr>
        <w:t>此表系申报减免税的依据，不再作拆分</w:t>
      </w:r>
      <w:r>
        <w:rPr>
          <w:rFonts w:ascii="宋体" w:cs="宋体" w:hint="eastAsia"/>
          <w:color w:val="auto"/>
          <w:szCs w:val="21"/>
          <w:highlight w:val="auto"/>
        </w:rPr>
        <w:t>。</w:t>
      </w:r>
      <w:r>
        <w:rPr>
          <w:rFonts w:ascii="宋体" w:cs="宋体"/>
          <w:color w:val="auto"/>
          <w:szCs w:val="21"/>
          <w:highlight w:val="auto"/>
        </w:rPr>
        <w:t>）</w:t>
      </w: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48"/>
        <w:gridCol w:w="2141"/>
        <w:gridCol w:w="3060"/>
        <w:gridCol w:w="1189"/>
        <w:gridCol w:w="990"/>
        <w:gridCol w:w="810"/>
        <w:gridCol w:w="1440"/>
        <w:gridCol w:w="1704"/>
      </w:tblGrid>
      <w:tr>
        <w:trPr>
          <w:trHeight w:val="567"/>
        </w:trPr>
        <w:tc>
          <w:tcPr>
            <w:tcW w:w="948"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序号</w:t>
            </w:r>
          </w:p>
        </w:tc>
        <w:tc>
          <w:tcPr>
            <w:tcW w:w="2141"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货物</w:t>
            </w:r>
            <w:r>
              <w:rPr>
                <w:rFonts w:eastAsia="楷体_GB2312" w:hint="eastAsia"/>
                <w:color w:val="auto"/>
                <w:sz w:val="24"/>
                <w:lang w:val="zh-CN"/>
                <w:highlight w:val="auto"/>
              </w:rPr>
              <w:t>名称</w:t>
            </w:r>
          </w:p>
        </w:tc>
        <w:tc>
          <w:tcPr>
            <w:tcW w:w="3060" w:type="dxa"/>
            <w:tcBorders>
              <w:top w:val="single" w:sz="6" w:space="0" w:color="auto"/>
              <w:left w:val="single" w:sz="6" w:space="0" w:color="auto"/>
              <w:bottom w:val="single" w:sz="6" w:space="0" w:color="auto"/>
              <w:right w:val="single" w:sz="4"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品牌</w:t>
            </w:r>
            <w:r>
              <w:rPr>
                <w:rFonts w:eastAsia="楷体_GB2312" w:hint="eastAsia"/>
                <w:color w:val="auto"/>
                <w:sz w:val="24"/>
                <w:lang w:val="zh-CN"/>
                <w:highlight w:val="auto"/>
              </w:rPr>
              <w:t>型号规格</w:t>
            </w:r>
          </w:p>
        </w:tc>
        <w:tc>
          <w:tcPr>
            <w:tcW w:w="1189" w:type="dxa"/>
            <w:tcBorders>
              <w:top w:val="single" w:sz="6" w:space="0" w:color="auto"/>
              <w:left w:val="single" w:sz="4"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供货方式</w:t>
            </w:r>
          </w:p>
        </w:tc>
        <w:tc>
          <w:tcPr>
            <w:tcW w:w="99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数量</w:t>
            </w:r>
          </w:p>
        </w:tc>
        <w:tc>
          <w:tcPr>
            <w:tcW w:w="81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lang w:val="zh-CN"/>
                <w:highlight w:val="auto"/>
              </w:rPr>
              <w:t>单</w:t>
            </w:r>
            <w:r>
              <w:rPr>
                <w:rFonts w:eastAsia="楷体_GB2312" w:hint="eastAsia"/>
                <w:color w:val="auto"/>
                <w:sz w:val="24"/>
                <w:highlight w:val="auto"/>
              </w:rPr>
              <w:t>位</w:t>
            </w:r>
          </w:p>
        </w:tc>
        <w:tc>
          <w:tcPr>
            <w:tcW w:w="144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单价</w:t>
            </w:r>
            <w:r>
              <w:rPr>
                <w:rFonts w:eastAsia="楷体_GB2312"/>
                <w:color w:val="auto"/>
                <w:sz w:val="24"/>
                <w:highlight w:val="auto"/>
              </w:rPr>
              <w:t>（元）</w:t>
            </w:r>
          </w:p>
        </w:tc>
        <w:tc>
          <w:tcPr>
            <w:tcW w:w="1704"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金额</w:t>
            </w:r>
            <w:r>
              <w:rPr>
                <w:rFonts w:eastAsia="楷体_GB2312"/>
                <w:color w:val="auto"/>
                <w:sz w:val="24"/>
                <w:highlight w:val="auto"/>
              </w:rPr>
              <w:t>（元）</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1</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color w:val="auto"/>
                <w:sz w:val="24"/>
                <w:highlight w:val="auto"/>
              </w:rPr>
              <w:t>国</w:t>
            </w:r>
            <w:r>
              <w:rPr>
                <w:rFonts w:eastAsia="楷体_GB2312" w:hint="eastAsia"/>
                <w:color w:val="auto"/>
                <w:sz w:val="24"/>
                <w:highlight w:val="auto"/>
              </w:rPr>
              <w:t>内供货</w:t>
            </w: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2</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3</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color w:val="auto"/>
                <w:sz w:val="24"/>
                <w:highlight w:val="auto"/>
              </w:rPr>
              <w:t>以下无</w:t>
            </w: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4</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5</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可增加</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总价</w:t>
            </w:r>
          </w:p>
        </w:tc>
        <w:tc>
          <w:tcPr>
            <w:tcW w:w="11334" w:type="dxa"/>
            <w:gridSpan w:val="7"/>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color w:val="auto"/>
                <w:highlight w:val="auto"/>
              </w:rPr>
            </w:pPr>
            <w:r>
              <w:rPr>
                <w:rFonts w:hint="eastAsia"/>
                <w:color w:val="auto"/>
                <w:highlight w:val="auto"/>
              </w:rPr>
              <w:t>元</w:t>
            </w:r>
          </w:p>
        </w:tc>
      </w:tr>
      <w:tr>
        <w:trPr>
          <w:trHeight w:val="567"/>
        </w:trPr>
        <w:tc>
          <w:tcPr>
            <w:tcW w:w="12282" w:type="dxa"/>
            <w:gridSpan w:val="8"/>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color w:val="auto"/>
                <w:highlight w:val="auto"/>
              </w:rPr>
            </w:pPr>
            <w:r>
              <w:rPr>
                <w:rFonts w:hint="eastAsia"/>
                <w:color w:val="auto"/>
                <w:highlight w:val="auto"/>
              </w:rPr>
              <w:t>项目采用公开招标方式采购时，以下不需要填写。</w:t>
            </w:r>
          </w:p>
        </w:tc>
      </w:tr>
      <w:tr>
        <w:trPr>
          <w:trHeight w:val="567"/>
        </w:trPr>
        <w:tc>
          <w:tcPr>
            <w:tcW w:w="12282" w:type="dxa"/>
            <w:gridSpan w:val="8"/>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hint="eastAsia"/>
                <w:bCs/>
                <w:color w:val="auto"/>
                <w:szCs w:val="21"/>
                <w:highlight w:val="auto"/>
              </w:rPr>
              <w:sym w:font="Wingdings" w:char="A8"/>
            </w:r>
            <w:r>
              <w:rPr>
                <w:rFonts w:eastAsia="楷体_GB2312" w:hint="eastAsia"/>
                <w:color w:val="auto"/>
                <w:sz w:val="24"/>
                <w:highlight w:val="auto"/>
              </w:rPr>
              <w:t>本项目采用竞争性磋商、单一来源谈判等方式采购，</w:t>
            </w:r>
            <w:r>
              <w:rPr>
                <w:rFonts w:ascii="楷体_GB2312" w:eastAsia="楷体_GB2312" w:hint="eastAsia"/>
                <w:color w:val="auto"/>
                <w:sz w:val="24"/>
                <w:highlight w:val="auto"/>
              </w:rPr>
              <w:t>表中报价为初次报价时的明细清单，实际按最终报价进行相应折扣处理。另，</w:t>
            </w:r>
            <w:r>
              <w:rPr>
                <w:rFonts w:eastAsia="楷体_GB2312" w:hint="eastAsia"/>
                <w:color w:val="auto"/>
                <w:sz w:val="24"/>
                <w:highlight w:val="auto"/>
              </w:rPr>
              <w:t>供应商承诺免费赠送的货物如下：</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1</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auto"/>
                <w:sz w:val="24"/>
                <w:highlight w:val="auto"/>
              </w:rPr>
            </w:pPr>
            <w:r>
              <w:rPr>
                <w:rFonts w:eastAsia="楷体_GB2312" w:hint="eastAsia"/>
                <w:color w:val="auto"/>
                <w:sz w:val="24"/>
                <w:highlight w:val="auto"/>
              </w:rPr>
              <w:t>2</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以下无</w:t>
            </w: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赠品无单价</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r>
              <w:rPr>
                <w:rFonts w:eastAsia="楷体_GB2312" w:hint="eastAsia"/>
                <w:color w:val="auto"/>
                <w:sz w:val="24"/>
                <w:highlight w:val="auto"/>
              </w:rPr>
              <w:t>可增加</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auto"/>
                <w:sz w:val="24"/>
                <w:highlight w:val="auto"/>
              </w:rPr>
            </w:pPr>
          </w:p>
        </w:tc>
      </w:tr>
    </w:tbl>
    <w:p>
      <w:pPr>
        <w:pStyle w:val="21"/>
        <w:rPr>
          <w:color w:val="auto"/>
          <w:highlight w:val="auto"/>
        </w:rPr>
      </w:pPr>
    </w:p>
    <w:p>
      <w:pPr>
        <w:rPr>
          <w:rFonts w:eastAsia="楷体_GB2312"/>
          <w:color w:val="auto"/>
          <w:highlight w:val="auto"/>
        </w:rPr>
        <w:sectPr>
          <w:headerReference w:type="default" r:id="rId5"/>
          <w:pgSz w:w="15840" w:h="12240" w:orient="landscape"/>
          <w:pgMar w:top="1797" w:right="1440" w:bottom="663" w:left="1440" w:header="720" w:footer="720" w:gutter="0"/>
          <w:docGrid w:linePitch="312" w:charSpace="0"/>
        </w:sectPr>
      </w:pPr>
    </w:p>
    <w:p>
      <w:pPr>
        <w:adjustRightInd w:val="0"/>
        <w:snapToGrid w:val="0"/>
        <w:spacing w:beforeLines="50" w:before="190" w:afterLines="50" w:after="190" w:line="360" w:lineRule="auto"/>
        <w:jc w:val="center"/>
        <w:outlineLvl w:val="0"/>
        <w:rPr>
          <w:rFonts w:ascii="宋体" w:eastAsia="宋体" w:cs="宋体" w:hint="eastAsia"/>
          <w:b/>
          <w:color w:val="auto"/>
          <w:szCs w:val="21"/>
          <w:lang w:eastAsia="zh-CN"/>
          <w:highlight w:val="auto"/>
        </w:rPr>
      </w:pPr>
      <w:bookmarkStart w:id="65" w:name="_Toc25938"/>
      <w:r>
        <w:rPr>
          <w:rFonts w:ascii="宋体" w:hint="eastAsia"/>
          <w:b/>
          <w:color w:val="auto"/>
          <w:sz w:val="32"/>
          <w:szCs w:val="32"/>
          <w:highlight w:val="auto"/>
        </w:rPr>
        <w:t>第四章</w:t>
      </w:r>
      <w:r>
        <w:rPr>
          <w:rFonts w:ascii="宋体"/>
          <w:b/>
          <w:color w:val="auto"/>
          <w:sz w:val="32"/>
          <w:szCs w:val="32"/>
          <w:highlight w:val="auto"/>
        </w:rPr>
        <w:t xml:space="preserve">  </w:t>
      </w:r>
      <w:bookmarkEnd w:id="57"/>
      <w:bookmarkEnd w:id="65"/>
      <w:r>
        <w:rPr>
          <w:rFonts w:ascii="宋体" w:hint="eastAsia"/>
          <w:b/>
          <w:color w:val="auto"/>
          <w:sz w:val="32"/>
          <w:szCs w:val="32"/>
          <w:lang w:eastAsia="zh-CN"/>
          <w:highlight w:val="auto"/>
        </w:rPr>
        <w:t>采购需求</w:t>
      </w:r>
    </w:p>
    <w:p>
      <w:pPr>
        <w:spacing w:line="360" w:lineRule="auto"/>
        <w:rPr>
          <w:rFonts w:ascii="宋体" w:cs="宋体"/>
          <w:b/>
          <w:color w:val="auto"/>
          <w:szCs w:val="21"/>
          <w:highlight w:val="auto"/>
        </w:rPr>
      </w:pPr>
      <w:bookmarkStart w:id="66" w:name="_Toc60757532"/>
      <w:bookmarkStart w:id="67" w:name="_Toc226969356"/>
      <w:bookmarkStart w:id="68" w:name="_Toc227057962"/>
      <w:bookmarkEnd w:id="58"/>
      <w:bookmarkEnd w:id="59"/>
      <w:bookmarkEnd w:id="60"/>
      <w:r>
        <w:rPr>
          <w:rFonts w:ascii="宋体" w:cs="宋体" w:hint="eastAsia"/>
          <w:b/>
          <w:color w:val="auto"/>
          <w:szCs w:val="21"/>
          <w:highlight w:val="auto"/>
        </w:rPr>
        <w:t>一</w:t>
      </w:r>
      <w:r>
        <w:rPr>
          <w:rFonts w:ascii="宋体" w:cs="宋体" w:hint="eastAsia"/>
          <w:b/>
          <w:color w:val="auto"/>
          <w:szCs w:val="21"/>
          <w:lang w:val="zh-CN"/>
          <w:highlight w:val="auto"/>
        </w:rPr>
        <w:t>、</w:t>
      </w:r>
      <w:r>
        <w:rPr>
          <w:rFonts w:ascii="宋体" w:cs="宋体" w:hint="eastAsia"/>
          <w:b/>
          <w:color w:val="auto"/>
          <w:szCs w:val="21"/>
          <w:highlight w:val="auto"/>
        </w:rPr>
        <w:t>项目概况</w:t>
      </w:r>
    </w:p>
    <w:p>
      <w:pPr>
        <w:spacing w:line="360" w:lineRule="auto"/>
        <w:ind w:firstLineChars="200" w:firstLine="420"/>
        <w:jc w:val="left"/>
        <w:rPr>
          <w:rFonts w:ascii="宋体"/>
          <w:color w:val="auto"/>
          <w:szCs w:val="21"/>
          <w:lang w:val="zh-CN"/>
          <w:highlight w:val="auto"/>
        </w:rPr>
      </w:pPr>
      <w:r>
        <w:rPr>
          <w:rFonts w:ascii="宋体" w:hint="eastAsia"/>
          <w:color w:val="auto"/>
          <w:szCs w:val="21"/>
          <w:highlight w:val="auto"/>
        </w:rPr>
        <w:t>根据嘉兴海关实验室建设规划要求，</w:t>
      </w:r>
      <w:r>
        <w:rPr>
          <w:rFonts w:ascii="宋体" w:hint="eastAsia"/>
          <w:color w:val="auto"/>
          <w:szCs w:val="21"/>
          <w:lang w:eastAsia="zh-CN"/>
          <w:highlight w:val="auto"/>
        </w:rPr>
        <w:t>嘉兴海关综合技术服务中心2025年实验室仪器设备更新项目（二）</w:t>
      </w:r>
      <w:r>
        <w:rPr>
          <w:rFonts w:ascii="宋体" w:hint="eastAsia"/>
          <w:color w:val="auto"/>
          <w:szCs w:val="21"/>
          <w:highlight w:val="auto"/>
        </w:rPr>
        <w:t>计划采购设备</w:t>
      </w:r>
      <w:r>
        <w:rPr>
          <w:rFonts w:ascii="宋体" w:hint="eastAsia"/>
          <w:color w:val="auto"/>
          <w:szCs w:val="21"/>
          <w:lang w:val="en-US" w:eastAsia="zh-CN"/>
          <w:highlight w:val="auto"/>
        </w:rPr>
        <w:t>6</w:t>
      </w:r>
      <w:r>
        <w:rPr>
          <w:rFonts w:ascii="宋体" w:hint="eastAsia"/>
          <w:color w:val="auto"/>
          <w:szCs w:val="21"/>
          <w:highlight w:val="auto"/>
        </w:rPr>
        <w:t>台（套），总投资</w:t>
      </w:r>
      <w:r>
        <w:rPr>
          <w:rFonts w:ascii="宋体" w:hint="eastAsia"/>
          <w:color w:val="auto"/>
          <w:szCs w:val="21"/>
          <w:lang w:val="en-US" w:eastAsia="zh-CN"/>
          <w:highlight w:val="auto"/>
        </w:rPr>
        <w:t>82</w:t>
      </w:r>
      <w:r>
        <w:rPr>
          <w:rFonts w:ascii="宋体" w:hint="eastAsia"/>
          <w:color w:val="auto"/>
          <w:szCs w:val="21"/>
          <w:highlight w:val="auto"/>
        </w:rPr>
        <w:t>万元，</w:t>
      </w:r>
      <w:r>
        <w:rPr>
          <w:rFonts w:ascii="宋体" w:hint="eastAsia"/>
          <w:color w:val="auto"/>
          <w:szCs w:val="21"/>
          <w:lang w:val="en-US" w:eastAsia="zh-CN"/>
          <w:highlight w:val="auto"/>
        </w:rPr>
        <w:t>本项目为</w:t>
      </w:r>
      <w:r>
        <w:rPr>
          <w:rFonts w:ascii="宋体" w:eastAsia="宋体" w:hint="eastAsia"/>
          <w:color w:val="auto"/>
          <w:szCs w:val="21"/>
          <w:lang w:val="en-US" w:eastAsia="zh-CN"/>
          <w:highlight w:val="auto"/>
        </w:rPr>
        <w:t>口岸进出口商品（食品、涂料、肥料、玩具）中有害物质监管、卫生检疫等工作的阵地，是口岸进出口商品检验监管和公共卫生服务不可缺少的一部分，可防止有害物质不合格的食品、涂料进入国内市场以及对出入境人员实施健康体检是加强传染源管理、防止检疫传染病跨境传播的起到重要作用，能有效促进嘉兴海关更好履行守国门，促发展神圣使命。</w:t>
      </w:r>
    </w:p>
    <w:p>
      <w:pPr>
        <w:spacing w:line="360" w:lineRule="auto"/>
        <w:rPr>
          <w:rFonts w:ascii="宋体" w:cs="宋体"/>
          <w:b/>
          <w:color w:val="auto"/>
          <w:szCs w:val="21"/>
          <w:highlight w:val="auto"/>
        </w:rPr>
      </w:pPr>
      <w:r>
        <w:rPr>
          <w:rFonts w:ascii="宋体" w:cs="宋体" w:hint="eastAsia"/>
          <w:b/>
          <w:color w:val="auto"/>
          <w:szCs w:val="21"/>
          <w:highlight w:val="auto"/>
        </w:rPr>
        <w:t>二、技术指标要求：</w:t>
      </w:r>
    </w:p>
    <w:p>
      <w:pPr>
        <w:spacing w:line="360" w:lineRule="auto"/>
        <w:ind w:firstLineChars="200" w:firstLine="420"/>
        <w:rPr>
          <w:rFonts w:ascii="宋体" w:cs="宋体"/>
          <w:b/>
          <w:bCs/>
          <w:color w:val="auto"/>
          <w:szCs w:val="21"/>
          <w:highlight w:val="auto"/>
        </w:rPr>
      </w:pPr>
      <w:r>
        <w:rPr>
          <w:rFonts w:ascii="宋体" w:cs="宋体" w:hint="eastAsia"/>
          <w:b/>
          <w:bCs/>
          <w:color w:val="auto"/>
          <w:szCs w:val="21"/>
          <w:highlight w:val="auto"/>
        </w:rPr>
        <w:t>带“▲”的是重要指标，必须满足，如不满足则为无效响应。带“★”的是关键指标。其他未标注符号的条款为一般技术参数。佐证材料，包括但不限于各类官方正式发布的资料，如：宣传册、数据表、用户手册、技术手册等</w:t>
      </w:r>
      <w:r>
        <w:rPr>
          <w:rFonts w:ascii="宋体" w:cs="宋体" w:hint="eastAsia"/>
          <w:b/>
          <w:bCs/>
          <w:color w:val="auto"/>
          <w:szCs w:val="21"/>
          <w:lang w:eastAsia="zh-CN"/>
          <w:highlight w:val="auto"/>
        </w:rPr>
        <w:t>（</w:t>
      </w:r>
      <w:r>
        <w:rPr>
          <w:rFonts w:ascii="宋体" w:cs="宋体" w:hint="eastAsia"/>
          <w:b/>
          <w:bCs/>
          <w:color w:val="auto"/>
          <w:szCs w:val="21"/>
          <w:lang w:val="en-US" w:eastAsia="zh-CN"/>
          <w:highlight w:val="auto"/>
        </w:rPr>
        <w:t>具体以需求表中要求为准</w:t>
      </w:r>
      <w:r>
        <w:rPr>
          <w:rFonts w:ascii="宋体" w:cs="宋体" w:hint="eastAsia"/>
          <w:b/>
          <w:bCs/>
          <w:color w:val="auto"/>
          <w:szCs w:val="21"/>
          <w:lang w:eastAsia="zh-CN"/>
          <w:highlight w:val="auto"/>
        </w:rPr>
        <w:t>）</w:t>
      </w:r>
      <w:r>
        <w:rPr>
          <w:rFonts w:ascii="宋体" w:cs="宋体" w:hint="eastAsia"/>
          <w:b/>
          <w:bCs/>
          <w:color w:val="auto"/>
          <w:szCs w:val="21"/>
          <w:highlight w:val="auto"/>
        </w:rPr>
        <w:t>,未提供佐证材料的，评标委员会可以认定为负偏离。</w:t>
      </w:r>
    </w:p>
    <w:p>
      <w:pPr>
        <w:spacing w:line="360" w:lineRule="auto"/>
        <w:ind w:firstLineChars="200" w:firstLine="420"/>
        <w:rPr>
          <w:rFonts w:ascii="宋体" w:cs="宋体"/>
          <w:color w:val="auto"/>
          <w:szCs w:val="21"/>
          <w:highlight w:val="auto"/>
        </w:rPr>
      </w:pPr>
      <w:r>
        <w:rPr>
          <w:rFonts w:ascii="宋体" w:cs="宋体" w:hint="eastAsia"/>
          <w:color w:val="auto"/>
          <w:szCs w:val="21"/>
          <w:highlight w:val="auto"/>
        </w:rPr>
        <w:t>1.采购清单</w:t>
      </w:r>
    </w:p>
    <w:tbl>
      <w:tblPr>
        <w:jc w:val="center"/>
        <w:tblW w:w="8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605"/>
        <w:gridCol w:w="1855"/>
        <w:gridCol w:w="1696"/>
        <w:gridCol w:w="615"/>
        <w:gridCol w:w="675"/>
        <w:gridCol w:w="1095"/>
        <w:gridCol w:w="1050"/>
        <w:gridCol w:w="1304"/>
      </w:tblGrid>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eastAsia="宋体" w:hint="eastAsia"/>
                <w:b/>
                <w:color w:val="auto"/>
                <w:szCs w:val="21"/>
                <w:lang w:eastAsia="zh-CN"/>
                <w:highlight w:val="auto"/>
              </w:rPr>
            </w:pPr>
            <w:r>
              <w:rPr>
                <w:rFonts w:ascii="宋体" w:hint="eastAsia"/>
                <w:b/>
                <w:color w:val="auto"/>
                <w:szCs w:val="21"/>
                <w:lang w:val="en-US" w:eastAsia="zh-CN"/>
                <w:highlight w:val="auto"/>
              </w:rPr>
              <w:t>序号</w:t>
            </w:r>
          </w:p>
        </w:tc>
        <w:tc>
          <w:tcPr>
            <w:tcW w:w="185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lang w:val="en-US" w:eastAsia="zh-CN"/>
                <w:highlight w:val="auto"/>
              </w:rPr>
              <w:t>项目</w:t>
            </w:r>
            <w:r>
              <w:rPr>
                <w:rFonts w:ascii="宋体" w:hint="eastAsia"/>
                <w:b/>
                <w:color w:val="auto"/>
                <w:szCs w:val="21"/>
                <w:highlight w:val="auto"/>
              </w:rPr>
              <w:t>名称</w:t>
            </w:r>
          </w:p>
        </w:tc>
        <w:tc>
          <w:tcPr>
            <w:tcW w:w="1696" w:type="dxa"/>
            <w:tcBorders>
              <w:tl2br w:val="nil"/>
              <w:tr2bl w:val="nil"/>
            </w:tcBorders>
            <w:tcMar>
              <w:left w:w="108" w:type="dxa"/>
              <w:right w:w="108" w:type="dxa"/>
            </w:tcMar>
            <w:vAlign w:val="center"/>
          </w:tcPr>
          <w:p>
            <w:pPr>
              <w:snapToGrid w:val="0"/>
              <w:spacing w:line="360" w:lineRule="auto"/>
              <w:rPr>
                <w:rFonts w:ascii="宋体"/>
                <w:b/>
                <w:color w:val="auto"/>
                <w:szCs w:val="21"/>
                <w:highlight w:val="auto"/>
              </w:rPr>
            </w:pPr>
            <w:r>
              <w:rPr>
                <w:rFonts w:ascii="宋体" w:hint="eastAsia"/>
                <w:b/>
                <w:color w:val="auto"/>
                <w:szCs w:val="21"/>
                <w:highlight w:val="auto"/>
              </w:rPr>
              <w:t>设备名称</w:t>
            </w:r>
          </w:p>
        </w:tc>
        <w:tc>
          <w:tcPr>
            <w:tcW w:w="61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数量</w:t>
            </w:r>
          </w:p>
        </w:tc>
        <w:tc>
          <w:tcPr>
            <w:tcW w:w="67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单位</w:t>
            </w:r>
          </w:p>
        </w:tc>
        <w:tc>
          <w:tcPr>
            <w:tcW w:w="1095"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分项预算价（万元）</w:t>
            </w:r>
          </w:p>
        </w:tc>
        <w:tc>
          <w:tcPr>
            <w:tcW w:w="1050"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合计预算价（万元）</w:t>
            </w:r>
          </w:p>
        </w:tc>
        <w:tc>
          <w:tcPr>
            <w:tcW w:w="1304" w:type="dxa"/>
            <w:tcBorders>
              <w:tl2br w:val="nil"/>
              <w:tr2bl w:val="nil"/>
            </w:tcBorders>
            <w:tcMar>
              <w:left w:w="108" w:type="dxa"/>
              <w:right w:w="108" w:type="dxa"/>
            </w:tcMar>
            <w:vAlign w:val="center"/>
          </w:tcPr>
          <w:p>
            <w:pPr>
              <w:snapToGrid w:val="0"/>
              <w:spacing w:line="360" w:lineRule="auto"/>
              <w:jc w:val="center"/>
              <w:rPr>
                <w:rFonts w:ascii="宋体"/>
                <w:b/>
                <w:color w:val="auto"/>
                <w:szCs w:val="21"/>
                <w:highlight w:val="auto"/>
              </w:rPr>
            </w:pPr>
            <w:r>
              <w:rPr>
                <w:rFonts w:ascii="宋体" w:hint="eastAsia"/>
                <w:b/>
                <w:color w:val="auto"/>
                <w:szCs w:val="21"/>
                <w:highlight w:val="auto"/>
              </w:rPr>
              <w:t>简要技术描述或基本概况介绍</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1</w:t>
            </w:r>
          </w:p>
        </w:tc>
        <w:tc>
          <w:tcPr>
            <w:tcW w:w="1855"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lang w:eastAsia="zh-CN"/>
                <w:highlight w:val="auto"/>
              </w:rPr>
              <w:t>嘉兴海关综合技术服务中心2025年实验室仪器设备更新项目（二）</w:t>
            </w: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生物安全柜</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11</w:t>
            </w:r>
          </w:p>
        </w:tc>
        <w:tc>
          <w:tcPr>
            <w:tcW w:w="1050" w:type="dxa"/>
            <w:vMerge w:val="restart"/>
            <w:tcBorders>
              <w:tl2br w:val="nil"/>
              <w:tr2bl w:val="nil"/>
            </w:tcBorders>
            <w:tcMar>
              <w:left w:w="108" w:type="dxa"/>
              <w:right w:w="108" w:type="dxa"/>
            </w:tcMar>
            <w:vAlign w:val="center"/>
          </w:tcPr>
          <w:p>
            <w:pPr>
              <w:snapToGrid w:val="0"/>
              <w:spacing w:line="360" w:lineRule="auto"/>
              <w:jc w:val="center"/>
              <w:rPr>
                <w:rFonts w:ascii="宋体" w:eastAsia="宋体"/>
                <w:b/>
                <w:color w:val="auto"/>
                <w:szCs w:val="21"/>
                <w:lang w:val="en-US" w:eastAsia="zh-CN"/>
                <w:highlight w:val="auto"/>
              </w:rPr>
            </w:pPr>
            <w:r>
              <w:rPr>
                <w:rFonts w:ascii="宋体" w:hint="eastAsia"/>
                <w:b/>
                <w:color w:val="auto"/>
                <w:szCs w:val="21"/>
                <w:lang w:val="en-US" w:eastAsia="zh-CN"/>
                <w:highlight w:val="auto"/>
              </w:rPr>
              <w:t xml:space="preserve"> 82</w:t>
            </w:r>
          </w:p>
        </w:tc>
        <w:tc>
          <w:tcPr>
            <w:tcW w:w="1304"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auto"/>
                <w:szCs w:val="21"/>
                <w:highlight w:val="auto"/>
              </w:rPr>
            </w:pPr>
            <w:r>
              <w:rPr>
                <w:rFonts w:ascii="宋体" w:hint="eastAsia"/>
                <w:color w:val="auto"/>
                <w:szCs w:val="21"/>
                <w:highlight w:val="auto"/>
              </w:rPr>
              <w:t>详见采购需求及采购文件</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2</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恒温恒湿培养箱</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15</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3</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台式冷冻离心机</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14</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4</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纯水/超纯水机</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2</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24</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auto"/>
                <w:szCs w:val="21"/>
                <w:lang w:val="en-US" w:eastAsia="zh-CN"/>
                <w:highlight w:val="auto"/>
              </w:rPr>
            </w:pPr>
            <w:r>
              <w:rPr>
                <w:rFonts w:ascii="宋体" w:hint="eastAsia"/>
                <w:b/>
                <w:color w:val="auto"/>
                <w:szCs w:val="21"/>
                <w:lang w:val="en-US" w:eastAsia="zh-CN"/>
                <w:highlight w:val="auto"/>
              </w:rPr>
              <w:t>5</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紫外可见分光光度计</w:t>
            </w:r>
            <w:r>
              <w:rPr>
                <w:rFonts w:ascii="宋体" w:hint="eastAsia"/>
                <w:color w:val="auto"/>
                <w:szCs w:val="21"/>
                <w:lang w:val="en-US" w:eastAsia="zh-CN"/>
                <w:highlight w:val="auto"/>
              </w:rPr>
              <w:t>（核心产品）</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auto"/>
                <w:kern w:val="2"/>
                <w:sz w:val="21"/>
                <w:szCs w:val="21"/>
                <w:lang w:val="en-US" w:eastAsia="zh-CN" w:bidi="ar-SA"/>
                <w:highlight w:val="auto"/>
              </w:rPr>
            </w:pPr>
            <w:r>
              <w:rPr>
                <w:rFonts w:ascii="宋体" w:hint="eastAsia"/>
                <w:color w:val="auto"/>
                <w:szCs w:val="21"/>
                <w:lang w:val="en-US" w:eastAsia="zh-CN"/>
                <w:highlight w:val="auto"/>
              </w:rPr>
              <w:t>18</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bl>
    <w:p>
      <w:pPr>
        <w:spacing w:line="360" w:lineRule="auto"/>
        <w:ind w:firstLineChars="200" w:firstLine="420"/>
        <w:rPr>
          <w:rFonts w:ascii="宋体" w:cs="宋体" w:hint="eastAsia"/>
          <w:color w:val="auto"/>
          <w:szCs w:val="21"/>
          <w:highlight w:val="auto"/>
        </w:rPr>
      </w:pPr>
    </w:p>
    <w:p>
      <w:pPr>
        <w:spacing w:line="360" w:lineRule="auto"/>
        <w:ind w:firstLineChars="200" w:firstLine="420"/>
        <w:rPr>
          <w:rFonts w:ascii="宋体" w:cs="宋体"/>
          <w:color w:val="auto"/>
          <w:szCs w:val="21"/>
          <w:highlight w:val="auto"/>
        </w:rPr>
      </w:pPr>
      <w:r>
        <w:rPr>
          <w:rFonts w:ascii="宋体" w:cs="宋体" w:hint="eastAsia"/>
          <w:color w:val="auto"/>
          <w:szCs w:val="21"/>
          <w:highlight w:val="auto"/>
        </w:rPr>
        <w:t>2.设备清单如下：</w:t>
      </w:r>
    </w:p>
    <w:tbl>
      <w:tblPr>
        <w:jc w:val="left"/>
        <w:tblInd w:w="0" w:type="dxa"/>
        <w:tblW w:w="8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8"/>
        <w:gridCol w:w="1412"/>
        <w:gridCol w:w="4674"/>
        <w:gridCol w:w="1069"/>
        <w:gridCol w:w="958"/>
      </w:tblGrid>
      <w:tr>
        <w:tc>
          <w:tcPr>
            <w:tcW w:w="718"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序号</w:t>
            </w:r>
          </w:p>
        </w:tc>
        <w:tc>
          <w:tcPr>
            <w:tcW w:w="1412"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设备名称</w:t>
            </w:r>
          </w:p>
        </w:tc>
        <w:tc>
          <w:tcPr>
            <w:tcW w:w="5743" w:type="dxa"/>
            <w:gridSpan w:val="2"/>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包含内容名称</w:t>
            </w:r>
          </w:p>
        </w:tc>
        <w:tc>
          <w:tcPr>
            <w:tcW w:w="958"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vertAlign w:val="baseline"/>
                <w:lang w:val="en-US" w:eastAsia="zh-CN"/>
                <w:highlight w:val="auto"/>
              </w:rPr>
              <w:t>数量</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w:t>
            </w:r>
          </w:p>
        </w:tc>
        <w:tc>
          <w:tcPr>
            <w:tcW w:w="1412" w:type="dxa"/>
            <w:vMerge w:val="restart"/>
            <w:noWrap/>
            <w:vAlign w:val="center"/>
          </w:tcPr>
          <w:p>
            <w:pPr>
              <w:spacing w:line="360" w:lineRule="auto"/>
              <w:jc w:val="center"/>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1"/>
                <w:highlight w:val="auto"/>
              </w:rPr>
              <w:t>生物安全柜</w:t>
            </w:r>
          </w:p>
        </w:tc>
        <w:tc>
          <w:tcPr>
            <w:tcW w:w="5743" w:type="dxa"/>
            <w:gridSpan w:val="2"/>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lang w:val="en-US" w:eastAsia="zh-CN"/>
                <w:highlight w:val="auto"/>
              </w:rPr>
              <w:t>生物安全柜主机</w:t>
            </w:r>
          </w:p>
        </w:tc>
        <w:tc>
          <w:tcPr>
            <w:tcW w:w="958" w:type="dxa"/>
            <w:noWrap/>
          </w:tcPr>
          <w:p>
            <w:pPr>
              <w:spacing w:line="360" w:lineRule="auto"/>
              <w:rPr>
                <w:rFonts w:ascii="宋体" w:eastAsia="宋体" w:cs="宋体" w:hint="eastAsia"/>
                <w:color w:val="auto"/>
                <w:sz w:val="21"/>
                <w:szCs w:val="21"/>
                <w:vertAlign w:val="baseline"/>
                <w:lang w:val="en-US" w:eastAsia="zh-CN"/>
                <w:highlight w:val="auto"/>
              </w:rPr>
            </w:pPr>
            <w:r>
              <w:rPr>
                <w:rFonts w:ascii="宋体" w:eastAsia="宋体" w:cs="宋体" w:hint="eastAsia"/>
                <w:color w:val="auto"/>
                <w:szCs w:val="21"/>
                <w:highlight w:val="auto"/>
              </w:rPr>
              <w:t>1台</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w:t>
            </w:r>
          </w:p>
        </w:tc>
        <w:tc>
          <w:tcPr>
            <w:tcW w:w="1412" w:type="dxa"/>
            <w:vMerge/>
            <w:noWrap/>
          </w:tcPr>
          <w:p/>
        </w:tc>
        <w:tc>
          <w:tcPr>
            <w:tcW w:w="5743" w:type="dxa"/>
            <w:gridSpan w:val="2"/>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1"/>
                <w:highlight w:val="auto"/>
              </w:rPr>
              <w:t>紫外灯（功率不小于30W)</w:t>
            </w:r>
          </w:p>
        </w:tc>
        <w:tc>
          <w:tcPr>
            <w:tcW w:w="958" w:type="dxa"/>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1"/>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3</w:t>
            </w:r>
          </w:p>
        </w:tc>
        <w:tc>
          <w:tcPr>
            <w:tcW w:w="1412" w:type="dxa"/>
            <w:vMerge/>
            <w:noWrap/>
          </w:tcPr>
          <w:p/>
        </w:tc>
        <w:tc>
          <w:tcPr>
            <w:tcW w:w="5743" w:type="dxa"/>
            <w:gridSpan w:val="2"/>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1"/>
                <w:highlight w:val="auto"/>
              </w:rPr>
              <w:t>LED灯（照度不小于1200Lux）</w:t>
            </w:r>
          </w:p>
        </w:tc>
        <w:tc>
          <w:tcPr>
            <w:tcW w:w="958" w:type="dxa"/>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1"/>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4</w:t>
            </w:r>
          </w:p>
        </w:tc>
        <w:tc>
          <w:tcPr>
            <w:tcW w:w="1412" w:type="dxa"/>
            <w:vMerge/>
            <w:noWrap/>
          </w:tcPr>
          <w:p/>
        </w:tc>
        <w:tc>
          <w:tcPr>
            <w:tcW w:w="5743" w:type="dxa"/>
            <w:gridSpan w:val="2"/>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1"/>
                <w:highlight w:val="auto"/>
              </w:rPr>
              <w:t>搁手架</w:t>
            </w:r>
          </w:p>
        </w:tc>
        <w:tc>
          <w:tcPr>
            <w:tcW w:w="958" w:type="dxa"/>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1"/>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5</w:t>
            </w:r>
          </w:p>
        </w:tc>
        <w:tc>
          <w:tcPr>
            <w:tcW w:w="1412" w:type="dxa"/>
            <w:vMerge/>
            <w:noWrap/>
          </w:tcPr>
          <w:p/>
        </w:tc>
        <w:tc>
          <w:tcPr>
            <w:tcW w:w="5743" w:type="dxa"/>
            <w:gridSpan w:val="2"/>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1"/>
                <w:highlight w:val="auto"/>
              </w:rPr>
              <w:t>带脚轮支架</w:t>
            </w:r>
          </w:p>
        </w:tc>
        <w:tc>
          <w:tcPr>
            <w:tcW w:w="958" w:type="dxa"/>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1"/>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6</w:t>
            </w:r>
          </w:p>
        </w:tc>
        <w:tc>
          <w:tcPr>
            <w:tcW w:w="1412" w:type="dxa"/>
            <w:vMerge/>
            <w:noWrap/>
          </w:tcPr>
          <w:p/>
        </w:tc>
        <w:tc>
          <w:tcPr>
            <w:tcW w:w="5743" w:type="dxa"/>
            <w:gridSpan w:val="2"/>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1"/>
                <w:highlight w:val="auto"/>
              </w:rPr>
              <w:t>小型便携式过氧化氢灭菌器</w:t>
            </w:r>
            <w:r>
              <w:rPr>
                <w:rFonts w:ascii="宋体" w:eastAsia="宋体" w:cs="宋体" w:hint="eastAsia"/>
                <w:color w:val="auto"/>
                <w:szCs w:val="21"/>
                <w:lang w:eastAsia="zh-CN"/>
                <w:highlight w:val="auto"/>
              </w:rPr>
              <w:t>（1、便携小型化设计，较小的设备体积，机身材料聚乙烯，无线遥控启停，可在消毒区域外部进行远程控制；2、功率不低于10W，电池容量不小于9000mAH，满电可续航时间不低于20小时3、消毒剂类型采用5.5%-7.5%过氧化氢溶液，雾化粒径不大于0.3um，雾化量1-5ml/Min可调，有效灭菌时间不超过40min4、有效灭菌空间体积不低于15m³，支持生物安全柜腔体内灭菌使用。5、杀灭效果≥99.9%，灭菌可达到6-log芽孢（嗜热脂肪芽孢，ATCC12980），可验证；）改成“5.杀灭效果不低于99.9%，针对嗜热脂肪芽孢杆菌（ATCC12980)杀灭效果不低于6-log。</w:t>
            </w:r>
          </w:p>
        </w:tc>
        <w:tc>
          <w:tcPr>
            <w:tcW w:w="958" w:type="dxa"/>
            <w:shd w:val="clear" w:color="auto" w:fill="auto"/>
            <w:noWrap/>
          </w:tcPr>
          <w:p>
            <w:pPr>
              <w:spacing w:line="360" w:lineRule="auto"/>
              <w:rPr>
                <w:rFonts w:ascii="宋体" w:eastAsia="宋体" w:cs="宋体" w:hint="eastAsia"/>
                <w:color w:val="auto"/>
                <w:kern w:val="2"/>
                <w:sz w:val="21"/>
                <w:szCs w:val="21"/>
                <w:vertAlign w:val="baseline"/>
                <w:lang w:val="en-US" w:eastAsia="zh-CN" w:bidi="ar-SA"/>
                <w:highlight w:val="auto"/>
              </w:rPr>
            </w:pPr>
            <w:r>
              <w:rPr>
                <w:rFonts w:ascii="宋体" w:eastAsia="宋体" w:cs="宋体" w:hint="eastAsia"/>
                <w:color w:val="auto"/>
                <w:szCs w:val="21"/>
                <w:highlight w:val="auto"/>
              </w:rPr>
              <w:t>1台</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7</w:t>
            </w:r>
          </w:p>
        </w:tc>
        <w:tc>
          <w:tcPr>
            <w:tcW w:w="1412" w:type="dxa"/>
            <w:vMerge w:val="restart"/>
            <w:shd w:val="clear" w:color="auto" w:fill="auto"/>
            <w:noWrap/>
            <w:vAlign w:val="center"/>
          </w:tcPr>
          <w:p>
            <w:pPr>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highlight w:val="auto"/>
              </w:rPr>
              <w:t>恒温恒湿培养箱</w:t>
            </w:r>
          </w:p>
          <w:p>
            <w:pPr>
              <w:spacing w:line="360" w:lineRule="auto"/>
              <w:rPr>
                <w:rFonts w:ascii="宋体" w:eastAsia="宋体" w:cs="宋体" w:hint="eastAsia"/>
                <w:color w:val="auto"/>
                <w:sz w:val="21"/>
                <w:szCs w:val="21"/>
                <w:vertAlign w:val="baseline"/>
                <w:lang w:val="en-US" w:eastAsia="zh-CN"/>
                <w:highlight w:val="auto"/>
              </w:rPr>
            </w:pPr>
          </w:p>
        </w:tc>
        <w:tc>
          <w:tcPr>
            <w:tcW w:w="5743" w:type="dxa"/>
            <w:gridSpan w:val="2"/>
            <w:shd w:val="clear" w:color="auto" w:fill="auto"/>
            <w:noWrap/>
            <w:vAlign w:val="center"/>
          </w:tcPr>
          <w:p>
            <w:pPr>
              <w:adjustRightInd w:val="0"/>
              <w:snapToGrid w:val="0"/>
              <w:spacing w:line="360" w:lineRule="auto"/>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highlight w:val="auto"/>
              </w:rPr>
              <w:t>恒温恒湿</w:t>
            </w:r>
            <w:r>
              <w:rPr>
                <w:rFonts w:ascii="宋体" w:eastAsia="宋体" w:cs="宋体" w:hint="eastAsia"/>
                <w:color w:val="auto"/>
                <w:lang w:val="en-US" w:eastAsia="zh-CN"/>
                <w:highlight w:val="auto"/>
              </w:rPr>
              <w:t>培养</w:t>
            </w:r>
            <w:r>
              <w:rPr>
                <w:rFonts w:ascii="宋体" w:eastAsia="宋体" w:cs="宋体" w:hint="eastAsia"/>
                <w:color w:val="auto"/>
                <w:highlight w:val="auto"/>
              </w:rPr>
              <w:t>箱主机</w:t>
            </w:r>
          </w:p>
        </w:tc>
        <w:tc>
          <w:tcPr>
            <w:tcW w:w="958" w:type="dxa"/>
            <w:shd w:val="clear" w:color="auto" w:fill="auto"/>
            <w:noWrap/>
            <w:vAlign w:val="center"/>
          </w:tcPr>
          <w:p>
            <w:pPr>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1台</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8</w:t>
            </w:r>
          </w:p>
        </w:tc>
        <w:tc>
          <w:tcPr>
            <w:tcW w:w="1412" w:type="dxa"/>
            <w:vMerge/>
            <w:noWrap/>
          </w:tcPr>
          <w:p/>
        </w:tc>
        <w:tc>
          <w:tcPr>
            <w:tcW w:w="5743" w:type="dxa"/>
            <w:gridSpan w:val="2"/>
            <w:shd w:val="clear" w:color="auto" w:fill="auto"/>
            <w:noWrap/>
            <w:vAlign w:val="center"/>
          </w:tcPr>
          <w:p>
            <w:pPr>
              <w:adjustRightInd w:val="0"/>
              <w:snapToGrid w:val="0"/>
              <w:spacing w:line="360" w:lineRule="auto"/>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highlight w:val="auto"/>
              </w:rPr>
              <w:t>储水箱</w:t>
            </w:r>
          </w:p>
        </w:tc>
        <w:tc>
          <w:tcPr>
            <w:tcW w:w="958" w:type="dxa"/>
            <w:shd w:val="clear" w:color="auto" w:fill="auto"/>
            <w:noWrap/>
            <w:vAlign w:val="center"/>
          </w:tcPr>
          <w:p>
            <w:pPr>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9</w:t>
            </w:r>
          </w:p>
        </w:tc>
        <w:tc>
          <w:tcPr>
            <w:tcW w:w="1412" w:type="dxa"/>
            <w:vMerge/>
            <w:noWrap/>
          </w:tcPr>
          <w:p/>
        </w:tc>
        <w:tc>
          <w:tcPr>
            <w:tcW w:w="5743" w:type="dxa"/>
            <w:gridSpan w:val="2"/>
            <w:shd w:val="clear" w:color="auto" w:fill="auto"/>
            <w:noWrap/>
            <w:vAlign w:val="center"/>
          </w:tcPr>
          <w:p>
            <w:pPr>
              <w:adjustRightInd w:val="0"/>
              <w:snapToGrid w:val="0"/>
              <w:spacing w:line="360" w:lineRule="auto"/>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highlight w:val="auto"/>
              </w:rPr>
              <w:t>不锈钢格栅板</w:t>
            </w:r>
          </w:p>
        </w:tc>
        <w:tc>
          <w:tcPr>
            <w:tcW w:w="958" w:type="dxa"/>
            <w:shd w:val="clear" w:color="auto" w:fill="auto"/>
            <w:noWrap/>
            <w:vAlign w:val="center"/>
          </w:tcPr>
          <w:p>
            <w:pPr>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2块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10</w:t>
            </w:r>
          </w:p>
        </w:tc>
        <w:tc>
          <w:tcPr>
            <w:tcW w:w="1412" w:type="dxa"/>
            <w:vMerge/>
            <w:noWrap/>
          </w:tcPr>
          <w:p/>
        </w:tc>
        <w:tc>
          <w:tcPr>
            <w:tcW w:w="5743" w:type="dxa"/>
            <w:gridSpan w:val="2"/>
            <w:shd w:val="clear" w:color="auto" w:fill="auto"/>
            <w:noWrap/>
            <w:vAlign w:val="center"/>
          </w:tcPr>
          <w:p>
            <w:pPr>
              <w:adjustRightInd w:val="0"/>
              <w:snapToGrid w:val="0"/>
              <w:spacing w:line="360" w:lineRule="auto"/>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highlight w:val="auto"/>
              </w:rPr>
              <w:t>带</w:t>
            </w:r>
            <w:r>
              <w:rPr>
                <w:rFonts w:ascii="宋体" w:eastAsia="宋体" w:cs="宋体" w:hint="eastAsia"/>
                <w:color w:val="auto"/>
                <w:lang w:eastAsia="zh-CN"/>
                <w:highlight w:val="auto"/>
              </w:rPr>
              <w:t>数据管理的</w:t>
            </w:r>
            <w:r>
              <w:rPr>
                <w:rFonts w:ascii="宋体" w:eastAsia="宋体" w:cs="宋体" w:hint="eastAsia"/>
                <w:color w:val="auto"/>
                <w:highlight w:val="auto"/>
              </w:rPr>
              <w:t>软件</w:t>
            </w:r>
          </w:p>
        </w:tc>
        <w:tc>
          <w:tcPr>
            <w:tcW w:w="958" w:type="dxa"/>
            <w:shd w:val="clear" w:color="auto" w:fill="auto"/>
            <w:noWrap/>
            <w:vAlign w:val="center"/>
          </w:tcPr>
          <w:p>
            <w:pPr>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11</w:t>
            </w:r>
          </w:p>
        </w:tc>
        <w:tc>
          <w:tcPr>
            <w:tcW w:w="1412" w:type="dxa"/>
            <w:vMerge w:val="restart"/>
            <w:shd w:val="clear" w:color="auto" w:fill="auto"/>
            <w:noWrap/>
            <w:vAlign w:val="center"/>
          </w:tcPr>
          <w:p>
            <w:pPr>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highlight w:val="auto"/>
              </w:rPr>
              <w:t>台式冷冻离心机</w:t>
            </w:r>
          </w:p>
          <w:p>
            <w:pPr>
              <w:spacing w:line="360" w:lineRule="auto"/>
              <w:rPr>
                <w:rFonts w:ascii="宋体" w:eastAsia="宋体" w:cs="宋体" w:hint="eastAsia"/>
                <w:color w:val="auto"/>
                <w:sz w:val="21"/>
                <w:szCs w:val="21"/>
                <w:vertAlign w:val="baseline"/>
                <w:lang w:val="en-US" w:eastAsia="zh-CN"/>
                <w:highlight w:val="auto"/>
              </w:rPr>
            </w:pPr>
          </w:p>
        </w:tc>
        <w:tc>
          <w:tcPr>
            <w:tcW w:w="5743" w:type="dxa"/>
            <w:gridSpan w:val="2"/>
            <w:shd w:val="clear" w:color="auto" w:fill="auto"/>
            <w:noWrap/>
            <w:vAlign w:val="center"/>
          </w:tcPr>
          <w:p>
            <w:pPr>
              <w:adjustRightInd w:val="0"/>
              <w:snapToGrid w:val="0"/>
              <w:spacing w:line="360" w:lineRule="auto"/>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highlight w:val="auto"/>
              </w:rPr>
              <w:t>台式冷冻离心机</w:t>
            </w:r>
            <w:r>
              <w:rPr>
                <w:rFonts w:ascii="宋体" w:eastAsia="宋体" w:cs="宋体" w:hint="eastAsia"/>
                <w:color w:val="auto"/>
                <w:highlight w:val="auto"/>
              </w:rPr>
              <w:t>主机</w:t>
            </w:r>
          </w:p>
        </w:tc>
        <w:tc>
          <w:tcPr>
            <w:tcW w:w="958" w:type="dxa"/>
            <w:shd w:val="clear" w:color="auto" w:fill="auto"/>
            <w:noWrap/>
            <w:vAlign w:val="center"/>
          </w:tcPr>
          <w:p>
            <w:pPr>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1台</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12</w:t>
            </w:r>
          </w:p>
        </w:tc>
        <w:tc>
          <w:tcPr>
            <w:tcW w:w="1412" w:type="dxa"/>
            <w:vMerge/>
            <w:noWrap/>
          </w:tcPr>
          <w:p/>
        </w:tc>
        <w:tc>
          <w:tcPr>
            <w:tcW w:w="5743" w:type="dxa"/>
            <w:gridSpan w:val="2"/>
            <w:shd w:val="clear" w:color="auto" w:fill="auto"/>
            <w:noWrap/>
            <w:vAlign w:val="center"/>
          </w:tcPr>
          <w:p>
            <w:pPr>
              <w:adjustRightInd w:val="0"/>
              <w:snapToGrid w:val="0"/>
              <w:spacing w:line="360" w:lineRule="auto"/>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highlight w:val="auto"/>
              </w:rPr>
              <w:t>6×100ml角转头（转速不低于15000rpm）</w:t>
            </w:r>
          </w:p>
        </w:tc>
        <w:tc>
          <w:tcPr>
            <w:tcW w:w="958" w:type="dxa"/>
            <w:shd w:val="clear" w:color="auto" w:fill="auto"/>
            <w:noWrap/>
            <w:vAlign w:val="center"/>
          </w:tcPr>
          <w:p>
            <w:pPr>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13</w:t>
            </w:r>
          </w:p>
        </w:tc>
        <w:tc>
          <w:tcPr>
            <w:tcW w:w="1412" w:type="dxa"/>
            <w:vMerge/>
            <w:noWrap/>
          </w:tcPr>
          <w:p/>
        </w:tc>
        <w:tc>
          <w:tcPr>
            <w:tcW w:w="5743" w:type="dxa"/>
            <w:gridSpan w:val="2"/>
            <w:shd w:val="clear" w:color="auto" w:fill="auto"/>
            <w:noWrap/>
            <w:vAlign w:val="center"/>
          </w:tcPr>
          <w:p>
            <w:pPr>
              <w:adjustRightInd w:val="0"/>
              <w:snapToGrid w:val="0"/>
              <w:spacing w:line="360" w:lineRule="auto"/>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highlight w:val="auto"/>
              </w:rPr>
              <w:t>6×50ml尖底管适配器</w:t>
            </w:r>
          </w:p>
        </w:tc>
        <w:tc>
          <w:tcPr>
            <w:tcW w:w="958" w:type="dxa"/>
            <w:shd w:val="clear" w:color="auto" w:fill="auto"/>
            <w:noWrap/>
            <w:vAlign w:val="center"/>
          </w:tcPr>
          <w:p>
            <w:pPr>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14</w:t>
            </w:r>
          </w:p>
        </w:tc>
        <w:tc>
          <w:tcPr>
            <w:tcW w:w="1412" w:type="dxa"/>
            <w:vMerge/>
            <w:noWrap/>
          </w:tcPr>
          <w:p/>
        </w:tc>
        <w:tc>
          <w:tcPr>
            <w:tcW w:w="5743" w:type="dxa"/>
            <w:gridSpan w:val="2"/>
            <w:shd w:val="clear" w:color="auto" w:fill="auto"/>
            <w:noWrap/>
            <w:vAlign w:val="center"/>
          </w:tcPr>
          <w:p>
            <w:pPr>
              <w:adjustRightInd w:val="0"/>
              <w:snapToGrid w:val="0"/>
              <w:spacing w:line="360" w:lineRule="auto"/>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highlight w:val="auto"/>
              </w:rPr>
              <w:t>6×15ml尖底管适配器</w:t>
            </w:r>
          </w:p>
        </w:tc>
        <w:tc>
          <w:tcPr>
            <w:tcW w:w="958" w:type="dxa"/>
            <w:shd w:val="clear" w:color="auto" w:fill="auto"/>
            <w:noWrap/>
            <w:vAlign w:val="center"/>
          </w:tcPr>
          <w:p>
            <w:pPr>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1套</w:t>
            </w:r>
          </w:p>
        </w:tc>
      </w:tr>
      <w:tr>
        <w:tc>
          <w:tcPr>
            <w:tcW w:w="718" w:type="dxa"/>
            <w:shd w:val="clear" w:color="auto" w:fill="auto"/>
            <w:noWrap/>
            <w:vAlign w:val="center"/>
          </w:tcPr>
          <w:p>
            <w:pPr>
              <w:widowControl/>
              <w:autoSpaceDE/>
              <w:autoSpaceDN/>
              <w:adjustRightInd w:val="0"/>
              <w:snapToGrid w:val="0"/>
              <w:spacing w:line="360" w:lineRule="auto"/>
              <w:ind w:firstLine="0"/>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序号</w:t>
            </w:r>
          </w:p>
        </w:tc>
        <w:tc>
          <w:tcPr>
            <w:tcW w:w="1412" w:type="dxa"/>
            <w:shd w:val="clear" w:color="auto" w:fill="auto"/>
            <w:noWrap/>
            <w:vAlign w:val="center"/>
          </w:tcPr>
          <w:p>
            <w:pPr>
              <w:widowControl/>
              <w:autoSpaceDE/>
              <w:autoSpaceDN/>
              <w:adjustRightInd w:val="0"/>
              <w:snapToGrid w:val="0"/>
              <w:spacing w:line="360" w:lineRule="auto"/>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设备名称</w:t>
            </w:r>
          </w:p>
        </w:tc>
        <w:tc>
          <w:tcPr>
            <w:tcW w:w="4674" w:type="dxa"/>
            <w:shd w:val="clear" w:color="auto" w:fill="auto"/>
            <w:noWrap/>
            <w:vAlign w:val="center"/>
          </w:tcPr>
          <w:p>
            <w:pPr>
              <w:widowControl/>
              <w:autoSpaceDE/>
              <w:autoSpaceDN/>
              <w:adjustRightInd w:val="0"/>
              <w:snapToGrid w:val="0"/>
              <w:spacing w:line="360" w:lineRule="auto"/>
              <w:ind w:firstLineChars="200" w:firstLine="42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包含内容名称</w:t>
            </w:r>
          </w:p>
        </w:tc>
        <w:tc>
          <w:tcPr>
            <w:tcW w:w="1069" w:type="dxa"/>
            <w:shd w:val="clear" w:color="auto" w:fill="auto"/>
            <w:noWrap/>
            <w:vAlign w:val="center"/>
          </w:tcPr>
          <w:p>
            <w:pPr>
              <w:widowControl/>
              <w:autoSpaceDE/>
              <w:autoSpaceDN/>
              <w:adjustRightInd w:val="0"/>
              <w:snapToGrid w:val="0"/>
              <w:spacing w:line="360" w:lineRule="auto"/>
              <w:ind w:firstLine="0"/>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配置数量</w:t>
            </w:r>
          </w:p>
        </w:tc>
        <w:tc>
          <w:tcPr>
            <w:tcW w:w="958" w:type="dxa"/>
            <w:shd w:val="clear" w:color="auto" w:fill="auto"/>
            <w:noWrap/>
            <w:vAlign w:val="center"/>
          </w:tcPr>
          <w:p>
            <w:pPr>
              <w:widowControl/>
              <w:autoSpaceDE/>
              <w:autoSpaceDN/>
              <w:adjustRightInd w:val="0"/>
              <w:snapToGrid w:val="0"/>
              <w:spacing w:line="360" w:lineRule="auto"/>
              <w:ind w:firstLine="0"/>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数量</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15</w:t>
            </w:r>
          </w:p>
        </w:tc>
        <w:tc>
          <w:tcPr>
            <w:tcW w:w="1412" w:type="dxa"/>
            <w:vMerge w:val="restart"/>
            <w:shd w:val="clear" w:color="auto" w:fill="auto"/>
            <w:noWrap/>
            <w:vAlign w:val="center"/>
          </w:tcPr>
          <w:p>
            <w:pPr>
              <w:widowControl/>
              <w:autoSpaceDE/>
              <w:autoSpaceDN/>
              <w:adjustRightInd w:val="0"/>
              <w:snapToGrid w:val="0"/>
              <w:spacing w:line="360" w:lineRule="auto"/>
              <w:ind w:firstLine="0"/>
              <w:jc w:val="left"/>
              <w:rPr>
                <w:rFonts w:ascii="宋体" w:eastAsia="宋体" w:cs="宋体" w:hint="eastAsia"/>
                <w:color w:val="auto"/>
                <w:sz w:val="21"/>
                <w:szCs w:val="21"/>
                <w:vertAlign w:val="baseline"/>
                <w:lang w:val="en-US" w:eastAsia="zh-CN"/>
                <w:highlight w:val="auto"/>
              </w:rPr>
            </w:pPr>
            <w:r>
              <w:rPr>
                <w:rFonts w:ascii="宋体" w:eastAsia="宋体" w:cs="宋体" w:hint="eastAsia"/>
                <w:color w:val="auto"/>
                <w:sz w:val="21"/>
                <w:szCs w:val="22"/>
                <w:highlight w:val="auto"/>
              </w:rPr>
              <w:t>纯水/超纯水机</w:t>
            </w:r>
          </w:p>
        </w:tc>
        <w:tc>
          <w:tcPr>
            <w:tcW w:w="4674" w:type="dxa"/>
            <w:shd w:val="clear" w:color="auto" w:fill="auto"/>
            <w:noWrap/>
            <w:vAlign w:val="center"/>
          </w:tcPr>
          <w:p>
            <w:pPr>
              <w:widowControl/>
              <w:autoSpaceDE/>
              <w:autoSpaceDN/>
              <w:adjustRightInd w:val="0"/>
              <w:snapToGrid w:val="0"/>
              <w:spacing w:line="360" w:lineRule="auto"/>
              <w:jc w:val="both"/>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highlight w:val="auto"/>
              </w:rPr>
              <w:t>纯水/超纯水机</w:t>
            </w:r>
            <w:r>
              <w:rPr>
                <w:rFonts w:ascii="宋体" w:eastAsia="宋体" w:cs="宋体" w:hint="eastAsia"/>
                <w:color w:val="auto"/>
                <w:sz w:val="21"/>
                <w:szCs w:val="22"/>
                <w:lang w:val="en-US" w:eastAsia="zh-CN"/>
                <w:highlight w:val="auto"/>
              </w:rPr>
              <w:t>主机</w:t>
            </w:r>
          </w:p>
        </w:tc>
        <w:tc>
          <w:tcPr>
            <w:tcW w:w="1069" w:type="dxa"/>
            <w:shd w:val="clear" w:color="auto" w:fill="auto"/>
            <w:noWrap/>
            <w:vAlign w:val="center"/>
          </w:tcPr>
          <w:p>
            <w:pPr>
              <w:widowControl/>
              <w:autoSpaceDE/>
              <w:autoSpaceDN/>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1套</w:t>
            </w:r>
          </w:p>
        </w:tc>
        <w:tc>
          <w:tcPr>
            <w:tcW w:w="958" w:type="dxa"/>
            <w:vMerge w:val="restart"/>
            <w:noWrap/>
            <w:vAlign w:val="center"/>
          </w:tcPr>
          <w:p>
            <w:pPr>
              <w:spacing w:line="360" w:lineRule="auto"/>
              <w:jc w:val="center"/>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16</w:t>
            </w:r>
          </w:p>
        </w:tc>
        <w:tc>
          <w:tcPr>
            <w:tcW w:w="1412" w:type="dxa"/>
            <w:vMerge/>
            <w:noWrap/>
            <w:vAlign w:val="center"/>
          </w:tcPr>
          <w:p/>
        </w:tc>
        <w:tc>
          <w:tcPr>
            <w:tcW w:w="4674" w:type="dxa"/>
            <w:shd w:val="clear" w:color="auto" w:fill="auto"/>
            <w:noWrap/>
            <w:vAlign w:val="center"/>
          </w:tcPr>
          <w:p>
            <w:pPr>
              <w:widowControl/>
              <w:autoSpaceDE/>
              <w:autoSpaceDN/>
              <w:adjustRightInd w:val="0"/>
              <w:snapToGrid w:val="0"/>
              <w:spacing w:line="360" w:lineRule="auto"/>
              <w:jc w:val="both"/>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kern w:val="2"/>
                <w:lang w:val="en-US" w:eastAsia="zh-CN"/>
                <w:highlight w:val="auto"/>
              </w:rPr>
              <w:t>标配</w:t>
            </w:r>
            <w:r>
              <w:rPr>
                <w:rFonts w:ascii="宋体" w:eastAsia="宋体" w:cs="宋体" w:hint="eastAsia"/>
                <w:color w:val="auto"/>
                <w:kern w:val="2"/>
                <w:highlight w:val="auto"/>
              </w:rPr>
              <w:t xml:space="preserve">预处理器  </w:t>
            </w:r>
          </w:p>
        </w:tc>
        <w:tc>
          <w:tcPr>
            <w:tcW w:w="1069" w:type="dxa"/>
            <w:shd w:val="clear" w:color="auto" w:fill="auto"/>
            <w:noWrap/>
            <w:vAlign w:val="center"/>
          </w:tcPr>
          <w:p>
            <w:pPr>
              <w:widowControl/>
              <w:autoSpaceDE/>
              <w:autoSpaceDN/>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3套</w:t>
            </w:r>
          </w:p>
        </w:tc>
        <w:tc>
          <w:tcPr>
            <w:tcW w:w="958" w:type="dxa"/>
            <w:vMerge/>
            <w:noWrap/>
          </w:tcP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17</w:t>
            </w:r>
          </w:p>
        </w:tc>
        <w:tc>
          <w:tcPr>
            <w:tcW w:w="1412" w:type="dxa"/>
            <w:vMerge/>
            <w:noWrap/>
            <w:vAlign w:val="center"/>
          </w:tcPr>
          <w:p/>
        </w:tc>
        <w:tc>
          <w:tcPr>
            <w:tcW w:w="4674" w:type="dxa"/>
            <w:shd w:val="clear" w:color="auto" w:fill="auto"/>
            <w:noWrap/>
            <w:vAlign w:val="center"/>
          </w:tcPr>
          <w:p>
            <w:pPr>
              <w:widowControl/>
              <w:autoSpaceDE/>
              <w:autoSpaceDN/>
              <w:adjustRightInd w:val="0"/>
              <w:snapToGrid w:val="0"/>
              <w:spacing w:line="360" w:lineRule="auto"/>
              <w:jc w:val="both"/>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kern w:val="2"/>
                <w:lang w:val="en-US" w:eastAsia="zh-CN"/>
                <w:highlight w:val="auto"/>
              </w:rPr>
              <w:t>一级</w:t>
            </w:r>
            <w:r>
              <w:rPr>
                <w:rFonts w:ascii="宋体" w:eastAsia="宋体" w:cs="宋体" w:hint="eastAsia"/>
                <w:color w:val="auto"/>
                <w:kern w:val="2"/>
                <w:highlight w:val="auto"/>
              </w:rPr>
              <w:t xml:space="preserve">级反渗透柱 </w:t>
            </w:r>
          </w:p>
        </w:tc>
        <w:tc>
          <w:tcPr>
            <w:tcW w:w="1069" w:type="dxa"/>
            <w:shd w:val="clear" w:color="auto" w:fill="auto"/>
            <w:noWrap/>
            <w:vAlign w:val="center"/>
          </w:tcPr>
          <w:p>
            <w:pPr>
              <w:widowControl/>
              <w:autoSpaceDE/>
              <w:autoSpaceDN/>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2套</w:t>
            </w:r>
          </w:p>
        </w:tc>
        <w:tc>
          <w:tcPr>
            <w:tcW w:w="958" w:type="dxa"/>
            <w:vMerge/>
            <w:noWrap/>
          </w:tcP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18</w:t>
            </w:r>
          </w:p>
        </w:tc>
        <w:tc>
          <w:tcPr>
            <w:tcW w:w="1412" w:type="dxa"/>
            <w:vMerge/>
            <w:noWrap/>
            <w:vAlign w:val="center"/>
          </w:tcPr>
          <w:p/>
        </w:tc>
        <w:tc>
          <w:tcPr>
            <w:tcW w:w="4674" w:type="dxa"/>
            <w:shd w:val="clear" w:color="auto" w:fill="auto"/>
            <w:noWrap/>
            <w:vAlign w:val="center"/>
          </w:tcPr>
          <w:p>
            <w:pPr>
              <w:widowControl/>
              <w:autoSpaceDE/>
              <w:autoSpaceDN/>
              <w:adjustRightInd w:val="0"/>
              <w:snapToGrid w:val="0"/>
              <w:spacing w:line="360" w:lineRule="auto"/>
              <w:jc w:val="both"/>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kern w:val="2"/>
                <w:highlight w:val="auto"/>
              </w:rPr>
              <w:t xml:space="preserve">二级反渗透柱 </w:t>
            </w:r>
          </w:p>
        </w:tc>
        <w:tc>
          <w:tcPr>
            <w:tcW w:w="1069" w:type="dxa"/>
            <w:shd w:val="clear" w:color="auto" w:fill="auto"/>
            <w:noWrap/>
            <w:vAlign w:val="center"/>
          </w:tcPr>
          <w:p>
            <w:pPr>
              <w:widowControl/>
              <w:autoSpaceDE/>
              <w:autoSpaceDN/>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2套</w:t>
            </w:r>
          </w:p>
        </w:tc>
        <w:tc>
          <w:tcPr>
            <w:tcW w:w="958" w:type="dxa"/>
            <w:vMerge/>
            <w:noWrap/>
          </w:tcP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19</w:t>
            </w:r>
          </w:p>
        </w:tc>
        <w:tc>
          <w:tcPr>
            <w:tcW w:w="1412" w:type="dxa"/>
            <w:vMerge/>
            <w:noWrap/>
            <w:vAlign w:val="center"/>
          </w:tcPr>
          <w:p/>
        </w:tc>
        <w:tc>
          <w:tcPr>
            <w:tcW w:w="4674" w:type="dxa"/>
            <w:shd w:val="clear" w:color="auto" w:fill="auto"/>
            <w:noWrap/>
            <w:vAlign w:val="center"/>
          </w:tcPr>
          <w:p>
            <w:pPr>
              <w:widowControl/>
              <w:autoSpaceDE/>
              <w:autoSpaceDN/>
              <w:adjustRightInd w:val="0"/>
              <w:snapToGrid w:val="0"/>
              <w:spacing w:line="360" w:lineRule="auto"/>
              <w:jc w:val="both"/>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kern w:val="2"/>
                <w:highlight w:val="auto"/>
              </w:rPr>
              <w:t>小型化连续除盐模块</w:t>
            </w:r>
          </w:p>
        </w:tc>
        <w:tc>
          <w:tcPr>
            <w:tcW w:w="1069" w:type="dxa"/>
            <w:shd w:val="clear" w:color="auto" w:fill="auto"/>
            <w:noWrap/>
            <w:vAlign w:val="center"/>
          </w:tcPr>
          <w:p>
            <w:pPr>
              <w:widowControl/>
              <w:autoSpaceDE/>
              <w:autoSpaceDN/>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1套</w:t>
            </w:r>
          </w:p>
        </w:tc>
        <w:tc>
          <w:tcPr>
            <w:tcW w:w="958" w:type="dxa"/>
            <w:vMerge/>
            <w:noWrap/>
          </w:tcP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20</w:t>
            </w:r>
          </w:p>
        </w:tc>
        <w:tc>
          <w:tcPr>
            <w:tcW w:w="1412" w:type="dxa"/>
            <w:vMerge/>
            <w:noWrap/>
            <w:vAlign w:val="center"/>
          </w:tcPr>
          <w:p/>
        </w:tc>
        <w:tc>
          <w:tcPr>
            <w:tcW w:w="4674" w:type="dxa"/>
            <w:shd w:val="clear" w:color="auto" w:fill="auto"/>
            <w:noWrap/>
            <w:vAlign w:val="center"/>
          </w:tcPr>
          <w:p>
            <w:pPr>
              <w:widowControl/>
              <w:autoSpaceDE/>
              <w:autoSpaceDN/>
              <w:adjustRightInd w:val="0"/>
              <w:snapToGrid w:val="0"/>
              <w:spacing w:line="360" w:lineRule="auto"/>
              <w:jc w:val="both"/>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kern w:val="2"/>
                <w:lang w:val="en-US" w:eastAsia="zh-CN"/>
                <w:highlight w:val="auto"/>
              </w:rPr>
              <w:t>标配</w:t>
            </w:r>
            <w:r>
              <w:rPr>
                <w:rFonts w:ascii="宋体" w:eastAsia="宋体" w:cs="宋体" w:hint="eastAsia"/>
                <w:color w:val="auto"/>
                <w:kern w:val="2"/>
                <w:highlight w:val="auto"/>
              </w:rPr>
              <w:t xml:space="preserve">超纯化柱  </w:t>
            </w:r>
          </w:p>
        </w:tc>
        <w:tc>
          <w:tcPr>
            <w:tcW w:w="1069" w:type="dxa"/>
            <w:shd w:val="clear" w:color="auto" w:fill="auto"/>
            <w:noWrap/>
            <w:vAlign w:val="center"/>
          </w:tcPr>
          <w:p>
            <w:pPr>
              <w:widowControl/>
              <w:autoSpaceDE/>
              <w:autoSpaceDN/>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2套</w:t>
            </w:r>
          </w:p>
        </w:tc>
        <w:tc>
          <w:tcPr>
            <w:tcW w:w="958" w:type="dxa"/>
            <w:vMerge/>
            <w:noWrap/>
          </w:tcP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21</w:t>
            </w:r>
          </w:p>
        </w:tc>
        <w:tc>
          <w:tcPr>
            <w:tcW w:w="1412" w:type="dxa"/>
            <w:vMerge/>
            <w:noWrap/>
            <w:vAlign w:val="center"/>
          </w:tcPr>
          <w:p/>
        </w:tc>
        <w:tc>
          <w:tcPr>
            <w:tcW w:w="4674" w:type="dxa"/>
            <w:shd w:val="clear" w:color="auto" w:fill="auto"/>
            <w:noWrap/>
            <w:vAlign w:val="center"/>
          </w:tcPr>
          <w:p>
            <w:pPr>
              <w:widowControl/>
              <w:autoSpaceDE/>
              <w:autoSpaceDN/>
              <w:adjustRightInd w:val="0"/>
              <w:snapToGrid w:val="0"/>
              <w:spacing w:line="360" w:lineRule="auto"/>
              <w:jc w:val="both"/>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kern w:val="2"/>
                <w:highlight w:val="auto"/>
              </w:rPr>
              <w:t xml:space="preserve">高效紫外消解仪 </w:t>
            </w:r>
          </w:p>
        </w:tc>
        <w:tc>
          <w:tcPr>
            <w:tcW w:w="1069" w:type="dxa"/>
            <w:shd w:val="clear" w:color="auto" w:fill="auto"/>
            <w:noWrap/>
            <w:vAlign w:val="center"/>
          </w:tcPr>
          <w:p>
            <w:pPr>
              <w:widowControl/>
              <w:autoSpaceDE/>
              <w:autoSpaceDN/>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1套</w:t>
            </w:r>
          </w:p>
        </w:tc>
        <w:tc>
          <w:tcPr>
            <w:tcW w:w="958" w:type="dxa"/>
            <w:vMerge/>
            <w:noWrap/>
          </w:tcP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22</w:t>
            </w:r>
          </w:p>
        </w:tc>
        <w:tc>
          <w:tcPr>
            <w:tcW w:w="1412" w:type="dxa"/>
            <w:vMerge/>
            <w:noWrap/>
            <w:vAlign w:val="center"/>
          </w:tcPr>
          <w:p/>
        </w:tc>
        <w:tc>
          <w:tcPr>
            <w:tcW w:w="4674" w:type="dxa"/>
            <w:shd w:val="clear" w:color="auto" w:fill="auto"/>
            <w:noWrap/>
            <w:vAlign w:val="center"/>
          </w:tcPr>
          <w:p>
            <w:pPr>
              <w:widowControl/>
              <w:autoSpaceDE/>
              <w:autoSpaceDN/>
              <w:adjustRightInd w:val="0"/>
              <w:snapToGrid w:val="0"/>
              <w:spacing w:line="360" w:lineRule="auto"/>
              <w:jc w:val="both"/>
              <w:rPr>
                <w:rFonts w:ascii="宋体" w:eastAsia="宋体" w:cs="宋体" w:hint="eastAsia"/>
                <w:color w:val="auto"/>
                <w:kern w:val="2"/>
                <w:sz w:val="21"/>
                <w:szCs w:val="24"/>
                <w:lang w:val="en-US" w:eastAsia="zh-CN" w:bidi="ar-SA"/>
                <w:highlight w:val="auto"/>
              </w:rPr>
            </w:pPr>
            <w:r>
              <w:rPr>
                <w:rFonts w:ascii="宋体" w:eastAsia="宋体" w:cs="宋体" w:hint="eastAsia"/>
                <w:color w:val="auto"/>
                <w:kern w:val="2"/>
                <w:highlight w:val="auto"/>
              </w:rPr>
              <w:t>0.22μm终端过滤器</w:t>
            </w:r>
          </w:p>
        </w:tc>
        <w:tc>
          <w:tcPr>
            <w:tcW w:w="1069" w:type="dxa"/>
            <w:shd w:val="clear" w:color="auto" w:fill="auto"/>
            <w:noWrap/>
            <w:vAlign w:val="center"/>
          </w:tcPr>
          <w:p>
            <w:pPr>
              <w:widowControl/>
              <w:autoSpaceDE/>
              <w:autoSpaceDN/>
              <w:adjustRightInd w:val="0"/>
              <w:snapToGrid w:val="0"/>
              <w:spacing w:line="360" w:lineRule="auto"/>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2套</w:t>
            </w:r>
          </w:p>
        </w:tc>
        <w:tc>
          <w:tcPr>
            <w:tcW w:w="958" w:type="dxa"/>
            <w:vMerge/>
            <w:noWrap/>
          </w:tcP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23</w:t>
            </w:r>
          </w:p>
        </w:tc>
        <w:tc>
          <w:tcPr>
            <w:tcW w:w="1412" w:type="dxa"/>
            <w:vMerge/>
            <w:noWrap/>
            <w:vAlign w:val="center"/>
          </w:tcPr>
          <w:p/>
        </w:tc>
        <w:tc>
          <w:tcPr>
            <w:tcW w:w="4674" w:type="dxa"/>
            <w:shd w:val="clear" w:color="auto" w:fill="auto"/>
            <w:noWrap/>
            <w:vAlign w:val="center"/>
          </w:tcPr>
          <w:p>
            <w:pPr>
              <w:widowControl/>
              <w:autoSpaceDE/>
              <w:autoSpaceDN/>
              <w:adjustRightInd w:val="0"/>
              <w:snapToGrid w:val="0"/>
              <w:spacing w:line="360" w:lineRule="auto"/>
              <w:jc w:val="both"/>
              <w:rPr>
                <w:rFonts w:ascii="宋体" w:eastAsia="宋体" w:cs="宋体" w:hint="eastAsia"/>
                <w:color w:val="auto"/>
                <w:kern w:val="2"/>
                <w:highlight w:val="auto"/>
              </w:rPr>
            </w:pPr>
            <w:r>
              <w:rPr>
                <w:rFonts w:ascii="宋体" w:eastAsia="宋体" w:cs="宋体" w:hint="eastAsia"/>
                <w:color w:val="auto"/>
                <w:kern w:val="2"/>
                <w:highlight w:val="auto"/>
              </w:rPr>
              <w:t>100LPE纯水箱</w:t>
            </w:r>
          </w:p>
        </w:tc>
        <w:tc>
          <w:tcPr>
            <w:tcW w:w="1069" w:type="dxa"/>
            <w:shd w:val="clear" w:color="auto" w:fill="auto"/>
            <w:noWrap/>
            <w:vAlign w:val="center"/>
          </w:tcPr>
          <w:p>
            <w:pPr>
              <w:widowControl/>
              <w:autoSpaceDE/>
              <w:autoSpaceDN/>
              <w:adjustRightInd w:val="0"/>
              <w:snapToGrid w:val="0"/>
              <w:spacing w:line="360" w:lineRule="auto"/>
              <w:jc w:val="center"/>
              <w:rPr>
                <w:rFonts w:ascii="宋体" w:eastAsia="宋体" w:cs="宋体" w:hint="eastAsia"/>
                <w:color w:val="auto"/>
                <w:sz w:val="21"/>
                <w:szCs w:val="22"/>
                <w:vertAlign w:val="baseline"/>
                <w:lang w:val="en-US" w:eastAsia="zh-CN"/>
                <w:highlight w:val="auto"/>
              </w:rPr>
            </w:pPr>
            <w:r>
              <w:rPr>
                <w:rFonts w:ascii="宋体" w:eastAsia="宋体" w:cs="宋体" w:hint="eastAsia"/>
                <w:color w:val="auto"/>
                <w:sz w:val="21"/>
                <w:szCs w:val="22"/>
                <w:vertAlign w:val="baseline"/>
                <w:lang w:val="en-US" w:eastAsia="zh-CN"/>
                <w:highlight w:val="auto"/>
              </w:rPr>
              <w:t>1套</w:t>
            </w:r>
          </w:p>
        </w:tc>
        <w:tc>
          <w:tcPr>
            <w:tcW w:w="958" w:type="dxa"/>
            <w:vMerge/>
            <w:noWrap/>
          </w:tcP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24</w:t>
            </w:r>
          </w:p>
        </w:tc>
        <w:tc>
          <w:tcPr>
            <w:tcW w:w="1412" w:type="dxa"/>
            <w:vMerge w:val="restart"/>
            <w:shd w:val="clear" w:color="auto" w:fill="auto"/>
            <w:noWrap/>
            <w:vAlign w:val="center"/>
          </w:tcPr>
          <w:p>
            <w:pPr>
              <w:widowControl/>
              <w:adjustRightInd w:val="0"/>
              <w:snapToGrid w:val="0"/>
              <w:spacing w:line="360" w:lineRule="auto"/>
              <w:jc w:val="left"/>
              <w:rPr>
                <w:rFonts w:ascii="宋体" w:eastAsia="宋体" w:cs="宋体" w:hint="eastAsia"/>
                <w:color w:val="auto"/>
                <w:sz w:val="21"/>
                <w:szCs w:val="22"/>
                <w:highlight w:val="auto"/>
              </w:rPr>
            </w:pPr>
            <w:r>
              <w:rPr>
                <w:rFonts w:ascii="宋体" w:eastAsia="宋体" w:cs="宋体" w:hint="eastAsia"/>
                <w:color w:val="auto"/>
                <w:sz w:val="21"/>
                <w:szCs w:val="22"/>
                <w:highlight w:val="auto"/>
              </w:rPr>
              <w:t>紫外可见分光光度计</w:t>
            </w:r>
            <w:r>
              <w:rPr>
                <w:rFonts w:ascii="宋体" w:hint="eastAsia"/>
                <w:color w:val="auto"/>
                <w:szCs w:val="21"/>
                <w:lang w:val="en-US" w:eastAsia="zh-CN"/>
                <w:highlight w:val="auto"/>
              </w:rPr>
              <w:t>（核心产品）</w:t>
            </w:r>
          </w:p>
          <w:p>
            <w:pPr>
              <w:widowControl/>
              <w:autoSpaceDE/>
              <w:autoSpaceDN/>
              <w:adjustRightInd w:val="0"/>
              <w:snapToGrid w:val="0"/>
              <w:spacing w:line="360" w:lineRule="auto"/>
              <w:ind w:firstLine="0"/>
              <w:jc w:val="left"/>
              <w:rPr>
                <w:rFonts w:ascii="宋体" w:eastAsia="宋体" w:cs="宋体" w:hint="eastAsia"/>
                <w:color w:val="auto"/>
                <w:kern w:val="2"/>
                <w:sz w:val="21"/>
                <w:szCs w:val="22"/>
                <w:vertAlign w:val="baseline"/>
                <w:lang w:val="en-US" w:eastAsia="zh-CN" w:bidi="ar-SA"/>
                <w:highlight w:val="auto"/>
              </w:rPr>
            </w:pPr>
          </w:p>
          <w:p>
            <w:pPr>
              <w:spacing w:line="360" w:lineRule="auto"/>
              <w:rPr>
                <w:rFonts w:ascii="宋体" w:eastAsia="宋体" w:cs="宋体" w:hint="eastAsia"/>
                <w:color w:val="auto"/>
                <w:sz w:val="21"/>
                <w:szCs w:val="21"/>
                <w:vertAlign w:val="baseline"/>
                <w:lang w:val="en-US" w:eastAsia="zh-CN"/>
                <w:highlight w:val="auto"/>
              </w:rPr>
            </w:pPr>
          </w:p>
        </w:tc>
        <w:tc>
          <w:tcPr>
            <w:tcW w:w="5743" w:type="dxa"/>
            <w:gridSpan w:val="2"/>
            <w:shd w:val="clear" w:color="auto" w:fill="auto"/>
            <w:noWrap/>
            <w:vAlign w:val="center"/>
          </w:tcPr>
          <w:p>
            <w:pPr>
              <w:widowControl/>
              <w:autoSpaceDE/>
              <w:autoSpaceDN/>
              <w:adjustRightInd w:val="0"/>
              <w:snapToGrid w:val="0"/>
              <w:spacing w:line="360" w:lineRule="auto"/>
              <w:ind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highlight w:val="auto"/>
              </w:rPr>
              <w:t>紫外可见分光光度计</w:t>
            </w:r>
            <w:r>
              <w:rPr>
                <w:rFonts w:ascii="宋体" w:eastAsia="宋体" w:cs="宋体" w:hint="eastAsia"/>
                <w:color w:val="auto"/>
                <w:sz w:val="21"/>
                <w:szCs w:val="22"/>
                <w:lang w:val="en-US" w:eastAsia="zh-CN"/>
                <w:highlight w:val="auto"/>
              </w:rPr>
              <w:t>主机</w:t>
            </w:r>
          </w:p>
        </w:tc>
        <w:tc>
          <w:tcPr>
            <w:tcW w:w="958" w:type="dxa"/>
            <w:shd w:val="clear" w:color="auto" w:fill="auto"/>
            <w:noWrap/>
            <w:vAlign w:val="center"/>
          </w:tcPr>
          <w:p>
            <w:pPr>
              <w:widowControl/>
              <w:autoSpaceDE/>
              <w:autoSpaceDN/>
              <w:adjustRightInd w:val="0"/>
              <w:snapToGrid w:val="0"/>
              <w:spacing w:line="360" w:lineRule="auto"/>
              <w:ind w:firstLine="0"/>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 w:val="21"/>
                <w:szCs w:val="22"/>
                <w:vertAlign w:val="baseline"/>
                <w:lang w:val="en-US" w:eastAsia="zh-CN"/>
                <w:highlight w:val="auto"/>
              </w:rPr>
              <w:t>1台</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25</w:t>
            </w:r>
          </w:p>
        </w:tc>
        <w:tc>
          <w:tcPr>
            <w:tcW w:w="1412" w:type="dxa"/>
            <w:vMerge/>
            <w:noWrap/>
          </w:tcPr>
          <w:p/>
        </w:tc>
        <w:tc>
          <w:tcPr>
            <w:tcW w:w="5743" w:type="dxa"/>
            <w:gridSpan w:val="2"/>
            <w:shd w:val="clear" w:color="auto" w:fill="auto"/>
            <w:noWrap/>
            <w:vAlign w:val="center"/>
          </w:tcPr>
          <w:p>
            <w:pPr>
              <w:widowControl/>
              <w:autoSpaceDE/>
              <w:autoSpaceDN/>
              <w:adjustRightInd w:val="0"/>
              <w:snapToGrid w:val="0"/>
              <w:spacing w:line="360" w:lineRule="auto"/>
              <w:ind w:firstLine="0"/>
              <w:jc w:val="left"/>
              <w:rPr>
                <w:rFonts w:ascii="宋体" w:eastAsia="宋体" w:cs="宋体" w:hint="eastAsia"/>
                <w:color w:val="auto"/>
                <w:kern w:val="2"/>
                <w:sz w:val="21"/>
                <w:szCs w:val="22"/>
                <w:lang w:val="en-US" w:eastAsia="zh-CN" w:bidi="ar-SA"/>
                <w:highlight w:val="auto"/>
              </w:rPr>
            </w:pPr>
            <w:r>
              <w:rPr>
                <w:rFonts w:ascii="宋体" w:eastAsia="宋体" w:cs="宋体" w:hint="eastAsia"/>
                <w:color w:val="auto"/>
                <w:szCs w:val="22"/>
                <w:lang w:val="en-US" w:eastAsia="zh-CN"/>
                <w:highlight w:val="auto"/>
              </w:rPr>
              <w:t>分析软件</w:t>
            </w:r>
          </w:p>
        </w:tc>
        <w:tc>
          <w:tcPr>
            <w:tcW w:w="958" w:type="dxa"/>
            <w:shd w:val="clear" w:color="auto" w:fill="auto"/>
            <w:noWrap/>
            <w:vAlign w:val="center"/>
          </w:tcPr>
          <w:p>
            <w:pPr>
              <w:widowControl/>
              <w:autoSpaceDE/>
              <w:autoSpaceDN/>
              <w:adjustRightInd w:val="0"/>
              <w:snapToGrid w:val="0"/>
              <w:spacing w:line="360" w:lineRule="auto"/>
              <w:ind w:firstLine="0"/>
              <w:jc w:val="center"/>
              <w:rPr>
                <w:rFonts w:ascii="宋体" w:eastAsia="宋体" w:cs="宋体" w:hint="eastAsia"/>
                <w:color w:val="auto"/>
                <w:kern w:val="2"/>
                <w:sz w:val="21"/>
                <w:szCs w:val="22"/>
                <w:lang w:val="en-US" w:eastAsia="zh-CN" w:bidi="ar-SA"/>
                <w:highlight w:val="auto"/>
              </w:rPr>
            </w:pPr>
            <w:r>
              <w:rPr>
                <w:rFonts w:ascii="宋体" w:eastAsia="宋体" w:cs="宋体" w:hint="eastAsia"/>
                <w:color w:val="auto"/>
                <w:szCs w:val="22"/>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26</w:t>
            </w:r>
          </w:p>
        </w:tc>
        <w:tc>
          <w:tcPr>
            <w:tcW w:w="1412" w:type="dxa"/>
            <w:vMerge/>
            <w:noWrap/>
          </w:tcPr>
          <w:p/>
        </w:tc>
        <w:tc>
          <w:tcPr>
            <w:tcW w:w="5743" w:type="dxa"/>
            <w:gridSpan w:val="2"/>
            <w:shd w:val="clear" w:color="auto" w:fill="auto"/>
            <w:noWrap/>
            <w:vAlign w:val="center"/>
          </w:tcPr>
          <w:p>
            <w:pPr>
              <w:widowControl/>
              <w:autoSpaceDE/>
              <w:autoSpaceDN/>
              <w:adjustRightInd w:val="0"/>
              <w:snapToGrid w:val="0"/>
              <w:spacing w:line="360" w:lineRule="auto"/>
              <w:ind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Cs w:val="22"/>
                <w:highlight w:val="auto"/>
              </w:rPr>
              <w:t>配套用工作站系统1套（相当于或优于6核心12线程，单核主频4.4GHz的CPU，16GB内存,1T硬盘, 独立显卡，DVD/CD-RW, 含正版操作系统与仪器软件能兼容，及配套工作相关输出设备</w:t>
            </w:r>
            <w:r>
              <w:rPr>
                <w:rFonts w:ascii="宋体" w:eastAsia="宋体" w:cs="宋体" w:hint="eastAsia"/>
                <w:color w:val="auto"/>
                <w:szCs w:val="22"/>
                <w:lang w:eastAsia="zh-CN"/>
                <w:highlight w:val="auto"/>
              </w:rPr>
              <w:t>（</w:t>
            </w:r>
            <w:r>
              <w:rPr>
                <w:rFonts w:ascii="宋体" w:eastAsia="宋体" w:cs="宋体" w:hint="eastAsia"/>
                <w:color w:val="auto"/>
                <w:szCs w:val="22"/>
                <w:lang w:val="en-US" w:eastAsia="zh-CN"/>
                <w:highlight w:val="auto"/>
              </w:rPr>
              <w:t>双面输出</w:t>
            </w:r>
            <w:r>
              <w:rPr>
                <w:rFonts w:ascii="宋体" w:eastAsia="宋体" w:cs="宋体" w:hint="eastAsia"/>
                <w:color w:val="auto"/>
                <w:szCs w:val="22"/>
                <w:lang w:eastAsia="zh-CN"/>
                <w:highlight w:val="auto"/>
              </w:rPr>
              <w:t>）</w:t>
            </w:r>
            <w:r>
              <w:rPr>
                <w:rFonts w:ascii="宋体" w:eastAsia="宋体" w:cs="宋体" w:hint="eastAsia"/>
                <w:color w:val="auto"/>
                <w:szCs w:val="22"/>
                <w:highlight w:val="auto"/>
              </w:rPr>
              <w:t>）</w:t>
            </w:r>
          </w:p>
        </w:tc>
        <w:tc>
          <w:tcPr>
            <w:tcW w:w="958" w:type="dxa"/>
            <w:shd w:val="clear" w:color="auto" w:fill="auto"/>
            <w:noWrap/>
            <w:vAlign w:val="center"/>
          </w:tcPr>
          <w:p>
            <w:pPr>
              <w:widowControl/>
              <w:autoSpaceDE/>
              <w:autoSpaceDN/>
              <w:adjustRightInd w:val="0"/>
              <w:snapToGrid w:val="0"/>
              <w:spacing w:line="360" w:lineRule="auto"/>
              <w:ind w:firstLine="0"/>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Cs w:val="22"/>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27</w:t>
            </w:r>
          </w:p>
        </w:tc>
        <w:tc>
          <w:tcPr>
            <w:tcW w:w="1412" w:type="dxa"/>
            <w:vMerge/>
            <w:noWrap/>
          </w:tcPr>
          <w:p/>
        </w:tc>
        <w:tc>
          <w:tcPr>
            <w:tcW w:w="5743" w:type="dxa"/>
            <w:gridSpan w:val="2"/>
            <w:shd w:val="clear" w:color="auto" w:fill="auto"/>
            <w:noWrap/>
            <w:vAlign w:val="center"/>
          </w:tcPr>
          <w:p>
            <w:pPr>
              <w:widowControl/>
              <w:autoSpaceDE/>
              <w:autoSpaceDN/>
              <w:adjustRightInd w:val="0"/>
              <w:snapToGrid w:val="0"/>
              <w:spacing w:line="360" w:lineRule="auto"/>
              <w:ind w:firstLine="0"/>
              <w:jc w:val="left"/>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kern w:val="2"/>
                <w:highlight w:val="auto"/>
              </w:rPr>
              <w:t>自动进样器</w:t>
            </w:r>
          </w:p>
        </w:tc>
        <w:tc>
          <w:tcPr>
            <w:tcW w:w="958" w:type="dxa"/>
            <w:shd w:val="clear" w:color="auto" w:fill="auto"/>
            <w:noWrap/>
            <w:vAlign w:val="center"/>
          </w:tcPr>
          <w:p>
            <w:pPr>
              <w:widowControl/>
              <w:autoSpaceDE/>
              <w:autoSpaceDN/>
              <w:adjustRightInd w:val="0"/>
              <w:snapToGrid w:val="0"/>
              <w:spacing w:line="360" w:lineRule="auto"/>
              <w:ind w:firstLine="0"/>
              <w:jc w:val="center"/>
              <w:rPr>
                <w:rFonts w:ascii="宋体" w:eastAsia="宋体" w:cs="宋体" w:hint="eastAsia"/>
                <w:color w:val="auto"/>
                <w:kern w:val="2"/>
                <w:sz w:val="21"/>
                <w:szCs w:val="22"/>
                <w:vertAlign w:val="baseline"/>
                <w:lang w:val="en-US" w:eastAsia="zh-CN" w:bidi="ar-SA"/>
                <w:highlight w:val="auto"/>
              </w:rPr>
            </w:pPr>
            <w:r>
              <w:rPr>
                <w:rFonts w:ascii="宋体" w:eastAsia="宋体" w:cs="宋体" w:hint="eastAsia"/>
                <w:color w:val="auto"/>
                <w:szCs w:val="22"/>
                <w:highlight w:val="auto"/>
              </w:rPr>
              <w:t>1套</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28</w:t>
            </w:r>
          </w:p>
        </w:tc>
        <w:tc>
          <w:tcPr>
            <w:tcW w:w="1412" w:type="dxa"/>
            <w:vMerge/>
            <w:noWrap/>
          </w:tcPr>
          <w:p/>
        </w:tc>
        <w:tc>
          <w:tcPr>
            <w:tcW w:w="5743" w:type="dxa"/>
            <w:gridSpan w:val="2"/>
            <w:shd w:val="clear" w:color="auto" w:fill="auto"/>
            <w:noWrap/>
            <w:vAlign w:val="center"/>
          </w:tcPr>
          <w:p>
            <w:pPr>
              <w:widowControl/>
              <w:autoSpaceDE/>
              <w:autoSpaceDN/>
              <w:adjustRightInd w:val="0"/>
              <w:snapToGrid w:val="0"/>
              <w:spacing w:line="360" w:lineRule="auto"/>
              <w:ind w:firstLine="0"/>
              <w:jc w:val="left"/>
              <w:rPr>
                <w:rFonts w:ascii="宋体" w:eastAsia="宋体" w:cs="宋体" w:hint="eastAsia"/>
                <w:color w:val="auto"/>
                <w:kern w:val="2"/>
                <w:sz w:val="21"/>
                <w:szCs w:val="24"/>
                <w:lang w:val="en-US" w:eastAsia="zh-CN" w:bidi="ar-SA"/>
                <w:highlight w:val="auto"/>
              </w:rPr>
            </w:pPr>
            <w:r>
              <w:rPr>
                <w:rFonts w:ascii="宋体" w:eastAsia="宋体" w:cs="宋体" w:hint="eastAsia"/>
                <w:color w:val="auto"/>
                <w:highlight w:val="auto"/>
              </w:rPr>
              <w:t>10mm，20mm，30mm，50mm玻璃比色皿</w:t>
            </w:r>
          </w:p>
        </w:tc>
        <w:tc>
          <w:tcPr>
            <w:tcW w:w="958" w:type="dxa"/>
            <w:shd w:val="clear" w:color="auto" w:fill="auto"/>
            <w:noWrap/>
            <w:vAlign w:val="center"/>
          </w:tcPr>
          <w:p>
            <w:pPr>
              <w:widowControl/>
              <w:autoSpaceDE/>
              <w:autoSpaceDN/>
              <w:adjustRightInd w:val="0"/>
              <w:snapToGrid w:val="0"/>
              <w:spacing w:line="360" w:lineRule="auto"/>
              <w:ind w:firstLine="0"/>
              <w:jc w:val="center"/>
              <w:rPr>
                <w:rFonts w:ascii="宋体" w:eastAsia="宋体" w:cs="宋体" w:hint="eastAsia"/>
                <w:color w:val="auto"/>
                <w:kern w:val="2"/>
                <w:sz w:val="21"/>
                <w:szCs w:val="22"/>
                <w:lang w:val="en-US" w:eastAsia="zh-CN" w:bidi="ar-SA"/>
                <w:highlight w:val="auto"/>
              </w:rPr>
            </w:pPr>
            <w:r>
              <w:rPr>
                <w:rFonts w:ascii="宋体" w:eastAsia="宋体" w:cs="宋体" w:hint="eastAsia"/>
                <w:color w:val="auto"/>
                <w:highlight w:val="auto"/>
              </w:rPr>
              <w:t>各8只</w:t>
            </w:r>
          </w:p>
        </w:tc>
      </w:tr>
      <w:tr>
        <w:tc>
          <w:tcPr>
            <w:tcW w:w="718" w:type="dxa"/>
            <w:noWrap/>
          </w:tcPr>
          <w:p>
            <w:pPr>
              <w:spacing w:line="360" w:lineRule="auto"/>
              <w:rPr>
                <w:rFonts w:ascii="宋体" w:eastAsia="宋体" w:cs="宋体"/>
                <w:color w:val="auto"/>
                <w:sz w:val="21"/>
                <w:szCs w:val="21"/>
                <w:vertAlign w:val="baseline"/>
                <w:lang w:val="en-US" w:eastAsia="zh-CN"/>
                <w:highlight w:val="auto"/>
              </w:rPr>
            </w:pPr>
            <w:r>
              <w:rPr>
                <w:rFonts w:ascii="宋体" w:cs="宋体" w:hint="eastAsia"/>
                <w:color w:val="auto"/>
                <w:sz w:val="21"/>
                <w:szCs w:val="21"/>
                <w:vertAlign w:val="baseline"/>
                <w:lang w:val="en-US" w:eastAsia="zh-CN"/>
                <w:highlight w:val="auto"/>
              </w:rPr>
              <w:t>29</w:t>
            </w:r>
          </w:p>
        </w:tc>
        <w:tc>
          <w:tcPr>
            <w:tcW w:w="1412" w:type="dxa"/>
            <w:vMerge/>
            <w:noWrap/>
          </w:tcPr>
          <w:p/>
        </w:tc>
        <w:tc>
          <w:tcPr>
            <w:tcW w:w="5743" w:type="dxa"/>
            <w:gridSpan w:val="2"/>
            <w:shd w:val="clear" w:color="auto" w:fill="auto"/>
            <w:noWrap/>
            <w:vAlign w:val="center"/>
          </w:tcPr>
          <w:p>
            <w:pPr>
              <w:widowControl/>
              <w:autoSpaceDE/>
              <w:autoSpaceDN/>
              <w:adjustRightInd w:val="0"/>
              <w:snapToGrid w:val="0"/>
              <w:spacing w:line="360" w:lineRule="auto"/>
              <w:ind w:firstLine="0"/>
              <w:jc w:val="left"/>
              <w:rPr>
                <w:rFonts w:ascii="宋体" w:eastAsia="宋体" w:cs="宋体" w:hint="eastAsia"/>
                <w:color w:val="auto"/>
                <w:kern w:val="2"/>
                <w:sz w:val="21"/>
                <w:szCs w:val="24"/>
                <w:lang w:val="en-US" w:eastAsia="zh-CN" w:bidi="ar-SA"/>
                <w:highlight w:val="auto"/>
              </w:rPr>
            </w:pPr>
            <w:r>
              <w:rPr>
                <w:rFonts w:ascii="宋体" w:eastAsia="宋体" w:cs="宋体" w:hint="eastAsia"/>
                <w:color w:val="auto"/>
                <w:highlight w:val="auto"/>
              </w:rPr>
              <w:t>10mm，20mm，30mm，50mm石英比色皿</w:t>
            </w:r>
          </w:p>
        </w:tc>
        <w:tc>
          <w:tcPr>
            <w:tcW w:w="958" w:type="dxa"/>
            <w:shd w:val="clear" w:color="auto" w:fill="auto"/>
            <w:noWrap/>
            <w:vAlign w:val="center"/>
          </w:tcPr>
          <w:p>
            <w:pPr>
              <w:widowControl/>
              <w:autoSpaceDE/>
              <w:autoSpaceDN/>
              <w:adjustRightInd w:val="0"/>
              <w:snapToGrid w:val="0"/>
              <w:spacing w:line="360" w:lineRule="auto"/>
              <w:ind w:firstLine="0"/>
              <w:jc w:val="center"/>
              <w:rPr>
                <w:rFonts w:ascii="宋体" w:eastAsia="宋体" w:cs="宋体" w:hint="eastAsia"/>
                <w:color w:val="auto"/>
                <w:kern w:val="2"/>
                <w:sz w:val="21"/>
                <w:szCs w:val="24"/>
                <w:lang w:val="en-US" w:eastAsia="zh-CN" w:bidi="ar-SA"/>
                <w:highlight w:val="auto"/>
              </w:rPr>
            </w:pPr>
            <w:r>
              <w:rPr>
                <w:rFonts w:ascii="宋体" w:eastAsia="宋体" w:cs="宋体" w:hint="eastAsia"/>
                <w:color w:val="auto"/>
                <w:highlight w:val="auto"/>
              </w:rPr>
              <w:t>各8只</w:t>
            </w:r>
          </w:p>
        </w:tc>
      </w:tr>
    </w:tbl>
    <w:p>
      <w:pPr>
        <w:spacing w:beforeLines="100" w:before="380" w:afterLines="100" w:after="380" w:line="360" w:lineRule="auto"/>
        <w:ind w:firstLineChars="200" w:firstLine="420"/>
        <w:rPr>
          <w:rFonts w:ascii="宋体" w:cs="宋体"/>
          <w:color w:val="auto"/>
          <w:szCs w:val="21"/>
          <w:highlight w:val="auto"/>
        </w:rPr>
      </w:pPr>
      <w:r>
        <w:rPr>
          <w:rFonts w:ascii="宋体" w:cs="宋体" w:hint="eastAsia"/>
          <w:color w:val="auto"/>
          <w:szCs w:val="21"/>
          <w:highlight w:val="auto"/>
        </w:rPr>
        <w:t>2.1详细技术指标要求</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8"/>
        <w:gridCol w:w="1730"/>
        <w:gridCol w:w="6132"/>
      </w:tblGrid>
      <w:tr>
        <w:tc>
          <w:tcPr>
            <w:tcW w:w="858"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序号</w:t>
            </w:r>
          </w:p>
        </w:tc>
        <w:tc>
          <w:tcPr>
            <w:tcW w:w="1730"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设备名称</w:t>
            </w:r>
          </w:p>
        </w:tc>
        <w:tc>
          <w:tcPr>
            <w:tcW w:w="6132"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指标参数</w:t>
            </w:r>
          </w:p>
        </w:tc>
      </w:tr>
      <w:tr>
        <w:tc>
          <w:tcPr>
            <w:tcW w:w="858" w:type="dxa"/>
            <w:shd w:val="clear" w:color="auto" w:fill="auto"/>
            <w:vAlign w:val="center"/>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kern w:val="2"/>
                <w:sz w:val="21"/>
                <w:szCs w:val="21"/>
                <w:lang w:val="en-US" w:eastAsia="zh-CN" w:bidi="ar-SA"/>
                <w:highlight w:val="auto"/>
              </w:rPr>
            </w:pPr>
            <w:r>
              <w:rPr>
                <w:rFonts w:ascii="宋体" w:eastAsia="宋体" w:cs="宋体" w:hint="eastAsia"/>
                <w:color w:val="auto"/>
                <w:sz w:val="21"/>
                <w:szCs w:val="21"/>
                <w:highlight w:val="auto"/>
              </w:rPr>
              <w:t>1</w:t>
            </w:r>
          </w:p>
        </w:tc>
        <w:tc>
          <w:tcPr>
            <w:tcW w:w="1730" w:type="dxa"/>
            <w:shd w:val="clear" w:color="auto" w:fill="auto"/>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kern w:val="2"/>
                <w:sz w:val="21"/>
                <w:szCs w:val="21"/>
                <w:lang w:val="en-US" w:eastAsia="zh-CN" w:bidi="ar-SA"/>
                <w:highlight w:val="auto"/>
              </w:rPr>
            </w:pPr>
            <w:r>
              <w:rPr>
                <w:rFonts w:ascii="宋体" w:eastAsia="宋体" w:cs="宋体" w:hint="eastAsia"/>
                <w:color w:val="auto"/>
                <w:sz w:val="21"/>
                <w:szCs w:val="21"/>
                <w:highlight w:val="auto"/>
              </w:rPr>
              <w:t>生物安全柜</w:t>
            </w:r>
          </w:p>
        </w:tc>
        <w:tc>
          <w:tcPr>
            <w:tcW w:w="6132" w:type="dxa"/>
            <w:shd w:val="clear" w:color="auto" w:fill="auto"/>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lang w:val="en-US" w:eastAsia="zh-CN"/>
                <w:highlight w:val="auto"/>
              </w:rPr>
              <w:t xml:space="preserve"> </w:t>
            </w:r>
            <w:r>
              <w:rPr>
                <w:rFonts w:ascii="宋体" w:eastAsia="宋体" w:cs="宋体" w:hint="eastAsia"/>
                <w:b/>
                <w:bCs/>
                <w:color w:val="auto"/>
                <w:sz w:val="21"/>
                <w:szCs w:val="21"/>
                <w:highlight w:val="auto"/>
              </w:rPr>
              <w:t>1、设备用途：</w:t>
            </w:r>
            <w:r>
              <w:rPr>
                <w:rFonts w:ascii="宋体" w:eastAsia="宋体" w:cs="宋体" w:hint="eastAsia"/>
                <w:color w:val="auto"/>
                <w:sz w:val="21"/>
                <w:szCs w:val="21"/>
                <w:highlight w:val="auto"/>
              </w:rPr>
              <w:t>用于保护操作样本不被外界污染，保护操作者不被所操作的病原微生物侵害。</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b/>
                <w:bCs/>
                <w:color w:val="auto"/>
                <w:sz w:val="21"/>
                <w:szCs w:val="21"/>
                <w:lang w:eastAsia="zh-CN"/>
                <w:highlight w:val="auto"/>
              </w:rPr>
            </w:pPr>
            <w:r>
              <w:rPr>
                <w:rFonts w:ascii="宋体" w:eastAsia="宋体" w:cs="宋体" w:hint="eastAsia"/>
                <w:b/>
                <w:bCs/>
                <w:color w:val="auto"/>
                <w:sz w:val="21"/>
                <w:szCs w:val="21"/>
                <w:highlight w:val="auto"/>
              </w:rPr>
              <w:t>2、</w:t>
            </w:r>
            <w:r>
              <w:rPr>
                <w:rFonts w:ascii="宋体" w:eastAsia="宋体" w:cs="宋体" w:hint="eastAsia"/>
                <w:b/>
                <w:bCs/>
                <w:color w:val="auto"/>
                <w:kern w:val="0"/>
                <w:sz w:val="21"/>
                <w:szCs w:val="21"/>
                <w:highlight w:val="auto"/>
              </w:rPr>
              <w:t>技术参数要求</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★2.1、气流模式:30%外排、70%循环</w:t>
            </w:r>
            <w:r>
              <w:rPr>
                <w:rFonts w:ascii="宋体" w:eastAsia="宋体" w:cs="宋体" w:hint="eastAsia"/>
                <w:color w:val="auto"/>
                <w:sz w:val="21"/>
                <w:szCs w:val="21"/>
                <w:lang w:eastAsia="zh-CN"/>
                <w:highlight w:val="auto"/>
              </w:rPr>
              <w:t>；</w:t>
            </w:r>
          </w:p>
          <w:p>
            <w:pPr>
              <w:pStyle w:val="18"/>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2.2、内部尺寸: ≥780mm  x 1200mm x 630mm（</w:t>
            </w:r>
            <w:r>
              <w:rPr>
                <w:rFonts w:ascii="宋体" w:eastAsia="宋体" w:cs="宋体" w:hint="eastAsia"/>
                <w:color w:val="auto"/>
                <w:sz w:val="21"/>
                <w:szCs w:val="21"/>
                <w:lang w:eastAsia="zh-CN"/>
                <w:highlight w:val="auto"/>
              </w:rPr>
              <w:t>高度</w:t>
            </w:r>
            <w:r>
              <w:rPr>
                <w:rFonts w:ascii="宋体" w:eastAsia="宋体" w:cs="宋体" w:hint="eastAsia"/>
                <w:color w:val="auto"/>
                <w:sz w:val="21"/>
                <w:szCs w:val="21"/>
                <w:lang w:val="en-US" w:eastAsia="zh-CN"/>
                <w:highlight w:val="auto"/>
              </w:rPr>
              <w:t>*宽度*深度</w:t>
            </w:r>
            <w:r>
              <w:rPr>
                <w:rFonts w:ascii="宋体" w:eastAsia="宋体" w:cs="宋体" w:hint="eastAsia"/>
                <w:color w:val="auto"/>
                <w:sz w:val="21"/>
                <w:szCs w:val="21"/>
                <w:highlight w:val="auto"/>
              </w:rPr>
              <w:t>）</w:t>
            </w:r>
            <w:r>
              <w:rPr>
                <w:rFonts w:ascii="宋体" w:eastAsia="宋体" w:cs="宋体" w:hint="eastAsia"/>
                <w:color w:val="auto"/>
                <w:sz w:val="21"/>
                <w:szCs w:val="21"/>
                <w:lang w:eastAsia="zh-CN"/>
                <w:highlight w:val="auto"/>
              </w:rPr>
              <w:t>；</w:t>
            </w:r>
          </w:p>
          <w:p>
            <w:pPr>
              <w:pStyle w:val="18"/>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2.3、外部尺寸: ≤1600mm  x 1300mm  x 800mm （</w:t>
            </w:r>
            <w:r>
              <w:rPr>
                <w:rFonts w:ascii="宋体" w:eastAsia="宋体" w:cs="宋体" w:hint="eastAsia"/>
                <w:color w:val="auto"/>
                <w:sz w:val="21"/>
                <w:szCs w:val="21"/>
                <w:lang w:eastAsia="zh-CN"/>
                <w:highlight w:val="auto"/>
              </w:rPr>
              <w:t>高度</w:t>
            </w:r>
            <w:r>
              <w:rPr>
                <w:rFonts w:ascii="宋体" w:eastAsia="宋体" w:cs="宋体" w:hint="eastAsia"/>
                <w:color w:val="auto"/>
                <w:sz w:val="21"/>
                <w:szCs w:val="21"/>
                <w:lang w:val="en-US" w:eastAsia="zh-CN"/>
                <w:highlight w:val="auto"/>
              </w:rPr>
              <w:t>*宽度*深度</w:t>
            </w:r>
            <w:r>
              <w:rPr>
                <w:rFonts w:ascii="宋体" w:eastAsia="宋体" w:cs="宋体" w:hint="eastAsia"/>
                <w:color w:val="auto"/>
                <w:sz w:val="21"/>
                <w:szCs w:val="21"/>
                <w:highlight w:val="auto"/>
              </w:rPr>
              <w:t>）（高度为不含支架的柜体外部高度）</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2.4、安全柜含有一个外排和一个下降风的HEPA过滤器。HEPA 过滤器在最大穿透粒径 (MPPS) 下的整体过滤效率≥ 99.995%，且局部穿透不大于 0.025%</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▲2.5、具有独立的无碳刷直流双风机系统，实时监测并智能控制进气与排气风机转速，平衡下降气流和外排气流，在过滤器阻塞或线路电压波动时持续保护用户安全</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★2.6、安全柜具有待机模式，当前窗关闭时，点击转速自动降低至30%，节能环保并延长HEPA过滤器使用寿命。当安全柜不使用时，样品也可以在无菌的工作环境中保存</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★2.7、风速报警：两个独立式压力传感器用于检测排气和下降气流强制通风时的压力变化</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当进气/ 排气或下降气流速度变化量达到20%时，报警器将发出声音和视觉报警提醒用户</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 xml:space="preserve">2.8、工作台面材料为304不锈钢一体成型，厚度不少于1.5mm </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2.9、设备可配置手动可调高度支架，支撑高度可调节范围不小于离地800毫米至950毫米高度，调节高度范围内支持多档可选；标配提供带脚轮的固定高度支架</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2.10、前窗为10°倾角，减少镜面效应</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2.11、</w:t>
            </w:r>
            <w:r>
              <w:rPr>
                <w:rFonts w:ascii="宋体" w:eastAsia="宋体" w:cs="宋体" w:hint="eastAsia"/>
                <w:color w:val="auto"/>
                <w:sz w:val="21"/>
                <w:szCs w:val="21"/>
                <w:lang w:val="en-US" w:eastAsia="zh-CN"/>
                <w:highlight w:val="auto"/>
              </w:rPr>
              <w:t>具有</w:t>
            </w:r>
            <w:r>
              <w:rPr>
                <w:rFonts w:ascii="宋体" w:eastAsia="宋体" w:cs="宋体" w:hint="eastAsia"/>
                <w:color w:val="auto"/>
                <w:sz w:val="21"/>
                <w:szCs w:val="21"/>
                <w:highlight w:val="auto"/>
              </w:rPr>
              <w:t>侧壁防眩目</w:t>
            </w:r>
            <w:r>
              <w:rPr>
                <w:rFonts w:ascii="宋体" w:eastAsia="宋体" w:cs="宋体" w:hint="eastAsia"/>
                <w:color w:val="auto"/>
                <w:sz w:val="21"/>
                <w:szCs w:val="21"/>
                <w:lang w:val="en-US" w:eastAsia="zh-CN"/>
                <w:highlight w:val="auto"/>
              </w:rPr>
              <w:t>功能</w:t>
            </w:r>
            <w:r>
              <w:rPr>
                <w:rFonts w:ascii="宋体" w:eastAsia="宋体" w:cs="宋体" w:hint="eastAsia"/>
                <w:color w:val="auto"/>
                <w:sz w:val="21"/>
                <w:szCs w:val="21"/>
                <w:highlight w:val="auto"/>
              </w:rPr>
              <w:t>、真空</w:t>
            </w:r>
            <w:r>
              <w:rPr>
                <w:rFonts w:ascii="宋体" w:eastAsia="宋体" w:cs="宋体" w:hint="eastAsia"/>
                <w:color w:val="auto"/>
                <w:sz w:val="21"/>
                <w:szCs w:val="21"/>
                <w:lang w:val="en-US" w:eastAsia="zh-CN"/>
                <w:highlight w:val="auto"/>
              </w:rPr>
              <w:t>功能</w:t>
            </w:r>
            <w:r>
              <w:rPr>
                <w:rFonts w:ascii="宋体" w:eastAsia="宋体" w:cs="宋体" w:hint="eastAsia"/>
                <w:color w:val="auto"/>
                <w:sz w:val="21"/>
                <w:szCs w:val="21"/>
                <w:highlight w:val="auto"/>
              </w:rPr>
              <w:t>，无开孔。两侧壁各提供3个服务阀孔</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2.12、设备配置紫外灯。消毒可编程，时间从0至24小时可调。可实现紫外灯消毒预约功能，可设定特定时间自动开启紫外灯，便于更灵活安排实验工作</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2.13、设备采用LED灯照明。照明和紫外灯系统应有互锁功能</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2.14、噪音≤ 65dB</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2.15、具有7英寸或以上彩色触摸屏，图形用户界面，可以实时显示风速和流入风速，并可以显示安全柜实时工作状态</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2.16、可通过图形用户界面查询安全柜状态，包括HEPA过滤器安装日期和预期寿命，紫外灯泡安装日期、运行时长等。并通过不同颜色标识提醒用户</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2.17、触摸屏显示的报警信息可直接显示文字信息，非仅显示代码标号，便于用户第一时间确认报警源</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2.18、前窗清洗位置：无需拆卸任何部件即可将前窗玻璃可下拉到台面下方指定位置，操作者可站在安全柜外的无污染区，便于清洁安全柜玻璃窗内侧和更换灯管</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★2.19、触感反馈：设备应具有特别的设置，当前窗玻璃到达工作高度时，操作者会被给出一个触感的反馈</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kern w:val="2"/>
                <w:sz w:val="21"/>
                <w:szCs w:val="21"/>
                <w:lang w:val="en-US" w:eastAsia="zh-CN" w:bidi="ar-SA"/>
                <w:highlight w:val="auto"/>
              </w:rPr>
            </w:pPr>
            <w:r>
              <w:rPr>
                <w:rFonts w:ascii="宋体" w:eastAsia="宋体" w:cs="宋体" w:hint="eastAsia"/>
                <w:color w:val="auto"/>
                <w:sz w:val="21"/>
                <w:szCs w:val="21"/>
                <w:highlight w:val="auto"/>
              </w:rPr>
              <w:t>2.20、生物安全柜的能耗：运行时≤200W，节能模式时≤70 W。</w:t>
            </w:r>
          </w:p>
        </w:tc>
      </w:tr>
      <w:tr>
        <w:tc>
          <w:tcPr>
            <w:tcW w:w="858"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lang w:val="en-US" w:eastAsia="zh-CN"/>
                <w:highlight w:val="auto"/>
              </w:rPr>
              <w:t>2</w:t>
            </w:r>
          </w:p>
        </w:tc>
        <w:tc>
          <w:tcPr>
            <w:tcW w:w="1730" w:type="dxa"/>
            <w:shd w:val="clear" w:color="auto" w:fill="auto"/>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kern w:val="2"/>
                <w:sz w:val="21"/>
                <w:szCs w:val="21"/>
                <w:lang w:val="en-US" w:eastAsia="zh-CN" w:bidi="ar-SA"/>
                <w:highlight w:val="auto"/>
              </w:rPr>
            </w:pPr>
            <w:r>
              <w:rPr>
                <w:rFonts w:ascii="宋体" w:eastAsia="宋体" w:cs="宋体" w:hint="eastAsia"/>
                <w:color w:val="auto"/>
                <w:sz w:val="21"/>
                <w:szCs w:val="21"/>
                <w:highlight w:val="auto"/>
              </w:rPr>
              <w:t>恒温恒湿培养箱</w:t>
            </w:r>
          </w:p>
        </w:tc>
        <w:tc>
          <w:tcPr>
            <w:tcW w:w="6132"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lang w:val="en-US" w:eastAsia="zh-CN"/>
                <w:highlight w:val="auto"/>
              </w:rPr>
              <w:t xml:space="preserve"> </w:t>
            </w:r>
            <w:r>
              <w:rPr>
                <w:rFonts w:ascii="宋体" w:eastAsia="宋体" w:cs="宋体" w:hint="eastAsia"/>
                <w:b/>
                <w:bCs/>
                <w:color w:val="auto"/>
                <w:sz w:val="21"/>
                <w:szCs w:val="21"/>
                <w:highlight w:val="auto"/>
              </w:rPr>
              <w:t>1、用途：</w:t>
            </w:r>
            <w:r>
              <w:rPr>
                <w:rFonts w:ascii="宋体" w:eastAsia="宋体" w:cs="宋体" w:hint="eastAsia"/>
                <w:color w:val="auto"/>
                <w:sz w:val="21"/>
                <w:szCs w:val="21"/>
                <w:highlight w:val="auto"/>
              </w:rPr>
              <w:t>主要用于生物医药、工业检测、农业生产及科研实验等领域，通过提供稳定环境条件满足微生物培养、产品性能测试及科学研究等需求。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 xml:space="preserve">2. </w:t>
            </w:r>
            <w:r>
              <w:rPr>
                <w:rFonts w:ascii="宋体" w:eastAsia="宋体" w:cs="宋体" w:hint="eastAsia"/>
                <w:b/>
                <w:bCs/>
                <w:color w:val="auto"/>
                <w:kern w:val="0"/>
                <w:sz w:val="21"/>
                <w:szCs w:val="21"/>
                <w:highlight w:val="auto"/>
              </w:rPr>
              <w:t>技术参数要求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▲2.1、培养箱容积：≥700L，外部尺寸不超过1250×1800×860mm（W×H×D）</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2.2、箱体内外</w:t>
            </w:r>
            <w:r>
              <w:rPr>
                <w:rFonts w:ascii="宋体" w:eastAsia="宋体" w:cs="宋体" w:hint="eastAsia"/>
                <w:color w:val="auto"/>
                <w:sz w:val="21"/>
                <w:szCs w:val="21"/>
                <w:u w:val="none"/>
                <w:highlight w:val="auto"/>
              </w:rPr>
              <w:t>均采用</w:t>
            </w:r>
            <w:r>
              <w:rPr>
                <w:rFonts w:ascii="宋体" w:eastAsia="宋体" w:cs="宋体" w:hint="eastAsia"/>
                <w:color w:val="auto"/>
                <w:sz w:val="21"/>
                <w:szCs w:val="21"/>
                <w:lang w:val="en-US" w:eastAsia="zh-CN"/>
                <w:highlight w:val="auto"/>
              </w:rPr>
              <w:t>为</w:t>
            </w:r>
            <w:r>
              <w:rPr>
                <w:rFonts w:ascii="宋体" w:eastAsia="宋体" w:cs="宋体" w:hint="eastAsia"/>
                <w:color w:val="auto"/>
                <w:sz w:val="21"/>
                <w:szCs w:val="21"/>
                <w:highlight w:val="auto"/>
              </w:rPr>
              <w:t>不锈钢材质，坚固耐用易清洁。表面不锈钢材质不易划伤。标配玻璃内门，便于随时观察样品存放情况，避免温湿度波动</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bCs/>
                <w:color w:val="auto"/>
                <w:sz w:val="21"/>
                <w:szCs w:val="21"/>
                <w:highlight w:val="auto"/>
              </w:rPr>
              <w:t>★</w:t>
            </w:r>
            <w:r>
              <w:rPr>
                <w:rFonts w:ascii="宋体" w:eastAsia="宋体" w:cs="宋体" w:hint="eastAsia"/>
                <w:color w:val="auto"/>
                <w:sz w:val="21"/>
                <w:szCs w:val="21"/>
                <w:highlight w:val="auto"/>
              </w:rPr>
              <w:t>2.3、加热制冷方式：采用低能耗半导体加热制冷技术，额定功率不超过1200W，制冷时无需制冷剂，对环境无污染</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highlight w:val="auto"/>
              </w:rPr>
            </w:pPr>
            <w:r>
              <w:rPr>
                <w:rFonts w:ascii="宋体" w:eastAsia="宋体" w:cs="宋体" w:hint="eastAsia"/>
                <w:bCs/>
                <w:color w:val="auto"/>
                <w:sz w:val="21"/>
                <w:szCs w:val="21"/>
                <w:highlight w:val="auto"/>
              </w:rPr>
              <w:t>★</w:t>
            </w:r>
            <w:r>
              <w:rPr>
                <w:rFonts w:ascii="宋体" w:eastAsia="宋体" w:cs="宋体" w:hint="eastAsia"/>
                <w:color w:val="auto"/>
                <w:sz w:val="21"/>
                <w:szCs w:val="21"/>
                <w:highlight w:val="auto"/>
              </w:rPr>
              <w:t>2.4、控温范围：需满足0～70℃范围</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温度波动度≤±0.3℃</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温度均匀度≤±0.4℃</w:t>
            </w:r>
            <w:r>
              <w:rPr>
                <w:rFonts w:ascii="宋体" w:eastAsia="宋体" w:cs="宋体" w:hint="eastAsia"/>
                <w:color w:val="auto"/>
                <w:sz w:val="21"/>
                <w:szCs w:val="21"/>
                <w:lang w:eastAsia="zh-CN"/>
                <w:highlight w:val="auto"/>
              </w:rPr>
              <w:t>；</w:t>
            </w:r>
            <w:r>
              <w:rPr>
                <w:rFonts w:ascii="宋体" w:eastAsia="宋体" w:cs="宋体" w:hint="eastAsia"/>
                <w:b/>
                <w:bCs/>
                <w:color w:val="auto"/>
                <w:sz w:val="21"/>
                <w:szCs w:val="21"/>
                <w:highlight w:val="auto"/>
              </w:rPr>
              <w:t>（需提供</w:t>
            </w:r>
            <w:r>
              <w:rPr>
                <w:rFonts w:ascii="宋体" w:eastAsia="宋体" w:cs="宋体" w:hint="eastAsia"/>
                <w:b/>
                <w:bCs/>
                <w:color w:val="auto"/>
                <w:sz w:val="21"/>
                <w:szCs w:val="21"/>
                <w:lang w:val="en-US" w:eastAsia="zh-CN"/>
                <w:highlight w:val="auto"/>
              </w:rPr>
              <w:t>相关</w:t>
            </w:r>
            <w:r>
              <w:rPr>
                <w:rFonts w:ascii="宋体" w:eastAsia="宋体" w:cs="宋体" w:hint="eastAsia"/>
                <w:b/>
                <w:bCs/>
                <w:color w:val="auto"/>
                <w:sz w:val="21"/>
                <w:szCs w:val="21"/>
                <w:highlight w:val="auto"/>
              </w:rPr>
              <w:t>证明或承诺验收时可体现该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bCs/>
                <w:color w:val="auto"/>
                <w:sz w:val="21"/>
                <w:szCs w:val="21"/>
                <w:highlight w:val="auto"/>
              </w:rPr>
              <w:t>★</w:t>
            </w:r>
            <w:r>
              <w:rPr>
                <w:rFonts w:ascii="宋体" w:eastAsia="宋体" w:cs="宋体" w:hint="eastAsia"/>
                <w:color w:val="auto"/>
                <w:sz w:val="21"/>
                <w:szCs w:val="21"/>
                <w:highlight w:val="auto"/>
              </w:rPr>
              <w:t>2.5、加湿方式：设备需标配供水水箱，一次加水可持续供湿时间不低于1个月；水源为蒸馏水，通过高温加热后形成水汽进入箱体，确保卫生无污染，加湿过程无废水产生，无需额外配套排水设施及废水桶</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bCs/>
                <w:color w:val="auto"/>
                <w:sz w:val="21"/>
                <w:szCs w:val="21"/>
                <w:highlight w:val="auto"/>
              </w:rPr>
              <w:t>★</w:t>
            </w:r>
            <w:r>
              <w:rPr>
                <w:rFonts w:ascii="宋体" w:eastAsia="宋体" w:cs="宋体" w:hint="eastAsia"/>
                <w:color w:val="auto"/>
                <w:sz w:val="21"/>
                <w:szCs w:val="21"/>
                <w:highlight w:val="auto"/>
              </w:rPr>
              <w:t>2.6、湿度范围：10～90%RH，湿度波动度：≤±1.0%RH</w:t>
            </w:r>
            <w:r>
              <w:rPr>
                <w:rFonts w:ascii="宋体" w:eastAsia="宋体" w:cs="宋体" w:hint="eastAsia"/>
                <w:color w:val="auto"/>
                <w:sz w:val="21"/>
                <w:szCs w:val="21"/>
                <w:lang w:eastAsia="zh-CN"/>
                <w:highlight w:val="auto"/>
              </w:rPr>
              <w:t>；</w:t>
            </w:r>
            <w:r>
              <w:rPr>
                <w:rFonts w:ascii="宋体" w:eastAsia="宋体" w:cs="宋体" w:hint="eastAsia"/>
                <w:b/>
                <w:bCs/>
                <w:color w:val="auto"/>
                <w:sz w:val="21"/>
                <w:szCs w:val="21"/>
                <w:highlight w:val="auto"/>
              </w:rPr>
              <w:t>（需提供</w:t>
            </w:r>
            <w:r>
              <w:rPr>
                <w:rFonts w:ascii="宋体" w:eastAsia="宋体" w:cs="宋体" w:hint="eastAsia"/>
                <w:b/>
                <w:bCs/>
                <w:color w:val="auto"/>
                <w:sz w:val="21"/>
                <w:szCs w:val="21"/>
                <w:lang w:val="en-US" w:eastAsia="zh-CN"/>
                <w:highlight w:val="auto"/>
              </w:rPr>
              <w:t>相关</w:t>
            </w:r>
            <w:r>
              <w:rPr>
                <w:rFonts w:ascii="宋体" w:eastAsia="宋体" w:cs="宋体" w:hint="eastAsia"/>
                <w:b/>
                <w:bCs/>
                <w:color w:val="auto"/>
                <w:sz w:val="21"/>
                <w:szCs w:val="21"/>
                <w:highlight w:val="auto"/>
              </w:rPr>
              <w:t>证明或承诺验收时可体现该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sz w:val="21"/>
                <w:szCs w:val="21"/>
                <w:highlight w:val="auto"/>
              </w:rPr>
              <w:br/>
              <w:t>2.7、设备操作控制方式：采用PID模糊控制器，触摸屏式控制面板，所有参数均可轻松设置</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2.8、设备内置网络接口，可实现数据的在线监控，同时需具备USB接口，可通过U盘上传程序，下载存储数据，以便于多台设备拷贝同一设置程序</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2.9、支持程序控制编程设置，可设置运行时间范围从1分钟到99天。自带三点温度校准功能，三点湿度校准功能</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bCs/>
                <w:color w:val="auto"/>
                <w:sz w:val="21"/>
                <w:szCs w:val="21"/>
                <w:highlight w:val="auto"/>
              </w:rPr>
              <w:t>★</w:t>
            </w:r>
            <w:r>
              <w:rPr>
                <w:rFonts w:ascii="宋体" w:eastAsia="宋体" w:cs="宋体" w:hint="eastAsia"/>
                <w:color w:val="auto"/>
                <w:sz w:val="21"/>
                <w:szCs w:val="21"/>
                <w:highlight w:val="auto"/>
              </w:rPr>
              <w:t>2.10、数据存储：设备内置存储功能，支持回看一周温湿度数据曲线。并可存储不少于10年的温湿度数据，数据可通过U盘等方式导出备查</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2.11、控温保护功能：具备高低温报警、高低湿报警功能，报警方式不限于声光等多种方式</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kern w:val="2"/>
                <w:sz w:val="21"/>
                <w:szCs w:val="21"/>
                <w:lang w:val="en-US" w:eastAsia="zh-CN" w:bidi="ar-SA"/>
                <w:highlight w:val="auto"/>
              </w:rPr>
            </w:pPr>
            <w:r>
              <w:rPr>
                <w:rFonts w:ascii="宋体" w:eastAsia="宋体" w:cs="宋体" w:hint="eastAsia"/>
                <w:color w:val="auto"/>
                <w:sz w:val="21"/>
                <w:szCs w:val="21"/>
                <w:highlight w:val="auto"/>
              </w:rPr>
              <w:t>2.12、箱体具备脚轮，便于短距离移动，脚轮具备锁止功能，确保安装可靠性</w:t>
            </w:r>
            <w:r>
              <w:rPr>
                <w:rFonts w:ascii="宋体" w:eastAsia="宋体" w:cs="宋体" w:hint="eastAsia"/>
                <w:color w:val="auto"/>
                <w:sz w:val="21"/>
                <w:szCs w:val="21"/>
                <w:lang w:eastAsia="zh-CN"/>
                <w:highlight w:val="auto"/>
              </w:rPr>
              <w:t>。</w:t>
            </w:r>
          </w:p>
        </w:tc>
      </w:tr>
      <w:tr>
        <w:tc>
          <w:tcPr>
            <w:tcW w:w="858"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lang w:val="en-US" w:eastAsia="zh-CN"/>
                <w:highlight w:val="auto"/>
              </w:rPr>
              <w:t>3</w:t>
            </w:r>
          </w:p>
        </w:tc>
        <w:tc>
          <w:tcPr>
            <w:tcW w:w="1730"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台式冷冻离心机</w:t>
            </w:r>
          </w:p>
        </w:tc>
        <w:tc>
          <w:tcPr>
            <w:tcW w:w="6132" w:type="dxa"/>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highlight w:val="auto"/>
              </w:rPr>
            </w:pPr>
            <w:r>
              <w:rPr>
                <w:rFonts w:ascii="宋体" w:eastAsia="宋体" w:cs="宋体" w:hint="eastAsia"/>
                <w:b/>
                <w:bCs/>
                <w:color w:val="auto"/>
                <w:sz w:val="21"/>
                <w:szCs w:val="21"/>
                <w:highlight w:val="auto"/>
              </w:rPr>
              <w:t>1、用途：</w:t>
            </w:r>
            <w:r>
              <w:rPr>
                <w:rFonts w:ascii="宋体" w:eastAsia="宋体" w:cs="宋体" w:hint="eastAsia"/>
                <w:color w:val="auto"/>
                <w:sz w:val="21"/>
                <w:szCs w:val="21"/>
                <w:highlight w:val="auto"/>
              </w:rPr>
              <w:t>检测样本的分离制备</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b/>
                <w:bCs/>
                <w:color w:val="auto"/>
                <w:sz w:val="21"/>
                <w:szCs w:val="21"/>
                <w:highlight w:val="auto"/>
              </w:rPr>
            </w:pPr>
            <w:r>
              <w:rPr>
                <w:rFonts w:ascii="宋体" w:eastAsia="宋体" w:cs="宋体" w:hint="eastAsia"/>
                <w:b/>
                <w:bCs/>
                <w:color w:val="auto"/>
                <w:sz w:val="21"/>
                <w:szCs w:val="21"/>
                <w:lang w:val="en-US" w:eastAsia="zh-CN"/>
                <w:highlight w:val="auto"/>
              </w:rPr>
              <w:t>2</w:t>
            </w:r>
            <w:r>
              <w:rPr>
                <w:rFonts w:ascii="宋体" w:eastAsia="宋体" w:cs="宋体" w:hint="eastAsia"/>
                <w:bCs/>
                <w:color w:val="auto"/>
                <w:sz w:val="21"/>
                <w:szCs w:val="21"/>
                <w:lang w:eastAsia="zh-CN"/>
                <w:highlight w:val="auto"/>
              </w:rPr>
              <w:t>、</w:t>
            </w:r>
            <w:r>
              <w:rPr>
                <w:rFonts w:ascii="宋体" w:eastAsia="宋体" w:cs="宋体" w:hint="eastAsia"/>
                <w:b/>
                <w:bCs/>
                <w:color w:val="auto"/>
                <w:kern w:val="0"/>
                <w:sz w:val="21"/>
                <w:szCs w:val="21"/>
                <w:highlight w:val="auto"/>
              </w:rPr>
              <w:t>技术参数要求</w:t>
            </w:r>
          </w:p>
          <w:p>
            <w:pPr>
              <w:keepNext w:val="0"/>
              <w:keepLines w:val="0"/>
              <w:pageBreakBefore w:val="0"/>
              <w:widowControl w:val="0"/>
              <w:tabs>
                <w:tab w:val="left" w:pos="6930"/>
              </w:tabs>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 xml:space="preserve">.1、最高转速：≥ 15000rpm，最大离心力：≥25000xg； </w:t>
            </w:r>
            <w:r>
              <w:rPr>
                <w:rFonts w:ascii="宋体" w:eastAsia="宋体" w:cs="宋体" w:hint="eastAsia"/>
                <w:b/>
                <w:bCs/>
                <w:color w:val="auto"/>
                <w:sz w:val="21"/>
                <w:szCs w:val="21"/>
                <w:highlight w:val="auto"/>
              </w:rPr>
              <w:t>（需提供</w:t>
            </w:r>
            <w:r>
              <w:rPr>
                <w:rFonts w:ascii="宋体" w:eastAsia="宋体" w:cs="宋体" w:hint="eastAsia"/>
                <w:b/>
                <w:bCs/>
                <w:color w:val="auto"/>
                <w:sz w:val="21"/>
                <w:szCs w:val="21"/>
                <w:lang w:val="en-US" w:eastAsia="zh-CN"/>
                <w:highlight w:val="auto"/>
              </w:rPr>
              <w:t>相关</w:t>
            </w:r>
            <w:r>
              <w:rPr>
                <w:rFonts w:ascii="宋体" w:eastAsia="宋体" w:cs="宋体" w:hint="eastAsia"/>
                <w:b/>
                <w:bCs/>
                <w:color w:val="auto"/>
                <w:sz w:val="21"/>
                <w:szCs w:val="21"/>
                <w:highlight w:val="auto"/>
              </w:rPr>
              <w:t>证明或承诺验收时可体现该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.2、最大容量: 水平转头最大可离心4个400ml离心瓶，总容积不少于1.6L</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.3、温度设定范围：-10℃至+40℃</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.4、加减速控制：9级加速, 10级减速</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.5、转头锁定系统：转头自锁，具有转头自动锁定装置，可以在3秒内实现转头的安全锁定&amp;转头更换</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.6、生物安全性保证：具备相关机构生物防护认证</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提供所有转子的防生物污染密封盖，每个转头盖子提供经第三方认证的证书。可以单手操作，无需旋盖及搭扣，并可以确保密封；</w:t>
            </w:r>
            <w:r>
              <w:rPr>
                <w:rFonts w:ascii="宋体" w:eastAsia="宋体" w:cs="宋体" w:hint="eastAsia"/>
                <w:b/>
                <w:bCs/>
                <w:color w:val="auto"/>
                <w:sz w:val="21"/>
                <w:szCs w:val="21"/>
                <w:highlight w:val="auto"/>
              </w:rPr>
              <w:t>（需提供</w:t>
            </w:r>
            <w:r>
              <w:rPr>
                <w:rFonts w:ascii="宋体" w:eastAsia="宋体" w:cs="宋体" w:hint="eastAsia"/>
                <w:b/>
                <w:bCs/>
                <w:color w:val="auto"/>
                <w:sz w:val="21"/>
                <w:szCs w:val="21"/>
                <w:lang w:val="en-US" w:eastAsia="zh-CN"/>
                <w:highlight w:val="auto"/>
              </w:rPr>
              <w:t>相关</w:t>
            </w:r>
            <w:r>
              <w:rPr>
                <w:rFonts w:ascii="宋体" w:eastAsia="宋体" w:cs="宋体" w:hint="eastAsia"/>
                <w:b/>
                <w:bCs/>
                <w:color w:val="auto"/>
                <w:sz w:val="21"/>
                <w:szCs w:val="21"/>
                <w:highlight w:val="auto"/>
              </w:rPr>
              <w:t>证明或承诺验收时可体现该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sz w:val="21"/>
                <w:szCs w:val="21"/>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.7、驱动系统：无碳刷大力矩电机直接驱动</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.8、程序：6个快捷程序可一键调用，并具有1个快捷预冷程序</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.9、运行时间控制: 0-9小时59分钟；并具有瞬时离心及连续离心方式</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.10、控制系统：微电脑控制, 数字液晶显示；可以同时显示设定和实际温度、速度、时间；可简单快捷设定运行条件和运行参数</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sz w:val="21"/>
                <w:szCs w:val="21"/>
                <w:lang w:eastAsia="zh-CN"/>
                <w:highlight w:val="auto"/>
              </w:rPr>
            </w:pP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.11、自动性能：可选择在离心结束之后自动开盖；可选择在离心结束时声音提醒功能</w:t>
            </w:r>
            <w:r>
              <w:rPr>
                <w:rFonts w:ascii="宋体" w:eastAsia="宋体" w:cs="宋体" w:hint="eastAsia"/>
                <w:color w:val="auto"/>
                <w:sz w:val="21"/>
                <w:szCs w:val="21"/>
                <w:lang w:eastAsia="zh-CN"/>
                <w:highlight w:val="auto"/>
              </w:rPr>
              <w:t>；</w:t>
            </w:r>
          </w:p>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auto"/>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.12、可选配转子数量不少于15个。</w:t>
            </w:r>
          </w:p>
        </w:tc>
      </w:tr>
      <w:tr>
        <w:tc>
          <w:tcPr>
            <w:tcW w:w="858"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lang w:val="en-US" w:eastAsia="zh-CN"/>
                <w:highlight w:val="auto"/>
              </w:rPr>
              <w:t>4</w:t>
            </w:r>
          </w:p>
        </w:tc>
        <w:tc>
          <w:tcPr>
            <w:tcW w:w="1730" w:type="dxa"/>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color w:val="auto"/>
                <w:sz w:val="21"/>
                <w:szCs w:val="21"/>
                <w:highlight w:val="auto"/>
              </w:rPr>
            </w:pPr>
            <w:r>
              <w:rPr>
                <w:rFonts w:ascii="宋体" w:eastAsia="宋体" w:cs="宋体" w:hint="eastAsia"/>
                <w:b w:val="0"/>
                <w:bCs w:val="0"/>
                <w:color w:val="auto"/>
                <w:sz w:val="21"/>
                <w:szCs w:val="21"/>
                <w:highlight w:val="auto"/>
              </w:rPr>
              <w:t>纯水/超纯水机</w:t>
            </w:r>
          </w:p>
        </w:tc>
        <w:tc>
          <w:tcPr>
            <w:tcW w:w="6132" w:type="dxa"/>
          </w:tcPr>
          <w:p>
            <w:pPr>
              <w:pStyle w:val="81"/>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kern w:val="0"/>
                <w:sz w:val="21"/>
                <w:szCs w:val="21"/>
                <w:highlight w:val="auto"/>
              </w:rPr>
            </w:pPr>
            <w:r>
              <w:rPr>
                <w:rFonts w:ascii="宋体" w:eastAsia="宋体" w:cs="宋体" w:hint="eastAsia"/>
                <w:b/>
                <w:bCs/>
                <w:color w:val="auto"/>
                <w:kern w:val="0"/>
                <w:sz w:val="21"/>
                <w:szCs w:val="21"/>
                <w:lang w:val="en-US" w:eastAsia="zh-CN"/>
                <w:highlight w:val="auto"/>
              </w:rPr>
              <w:t>1、</w:t>
            </w:r>
            <w:r>
              <w:rPr>
                <w:rFonts w:ascii="宋体" w:eastAsia="宋体" w:cs="宋体" w:hint="eastAsia"/>
                <w:b/>
                <w:bCs/>
                <w:color w:val="auto"/>
                <w:kern w:val="0"/>
                <w:sz w:val="21"/>
                <w:szCs w:val="21"/>
                <w:highlight w:val="auto"/>
              </w:rPr>
              <w:t>主要用途</w:t>
            </w:r>
          </w:p>
          <w:p>
            <w:pPr>
              <w:pStyle w:val="81"/>
              <w:keepNext w:val="0"/>
              <w:keepLines w:val="0"/>
              <w:pageBreakBefore w:val="0"/>
              <w:widowControl w:val="0"/>
              <w:kinsoku/>
              <w:wordWrap/>
              <w:overflowPunct/>
              <w:topLinePunct w:val="0"/>
              <w:bidi w:val="0"/>
              <w:spacing w:line="360" w:lineRule="auto"/>
              <w:ind w:left="432" w:firstLineChars="0" w:firstLine="0"/>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用于检测过程中一级水和三级水的制备。</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kern w:val="0"/>
                <w:sz w:val="21"/>
                <w:szCs w:val="21"/>
                <w:highlight w:val="auto"/>
              </w:rPr>
            </w:pPr>
            <w:r>
              <w:rPr>
                <w:rFonts w:ascii="宋体" w:eastAsia="宋体" w:cs="宋体" w:hint="eastAsia"/>
                <w:b/>
                <w:bCs/>
                <w:color w:val="auto"/>
                <w:kern w:val="0"/>
                <w:sz w:val="21"/>
                <w:szCs w:val="21"/>
                <w:lang w:val="en-US" w:eastAsia="zh-CN"/>
                <w:highlight w:val="auto"/>
              </w:rPr>
              <w:t>2</w:t>
            </w:r>
            <w:r>
              <w:rPr>
                <w:rFonts w:ascii="宋体" w:eastAsia="宋体" w:cs="宋体" w:hint="eastAsia"/>
                <w:b/>
                <w:bCs/>
                <w:color w:val="auto"/>
                <w:kern w:val="0"/>
                <w:sz w:val="21"/>
                <w:szCs w:val="21"/>
                <w:highlight w:val="auto"/>
              </w:rPr>
              <w:t>、技术参数要求</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lang w:val="en-US" w:eastAsia="zh-CN"/>
                <w:highlight w:val="auto"/>
              </w:rPr>
              <w:t>2.1、</w:t>
            </w:r>
            <w:r>
              <w:rPr>
                <w:rFonts w:ascii="宋体" w:eastAsia="宋体" w:cs="宋体" w:hint="eastAsia"/>
                <w:b/>
                <w:bCs/>
                <w:color w:val="auto"/>
                <w:kern w:val="0"/>
                <w:sz w:val="21"/>
                <w:szCs w:val="21"/>
                <w:highlight w:val="auto"/>
              </w:rPr>
              <w:t>主机参数</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1.1</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制水量:≥50升/小时（水温25℃时）；</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1.2</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进水水源为符合国标GB5749-2006标准要求的城市自来水：水压0.10-0.40MPa；水温5-45℃；总溶解性固体物总含量TDS≤200ppm；总有机碳TOC≤500ppb；工作电源AC220V/50HZ；噪音：≤40db</w:t>
            </w:r>
            <w:r>
              <w:rPr>
                <w:rFonts w:ascii="宋体" w:eastAsia="宋体" w:cs="宋体" w:hint="eastAsia"/>
                <w:color w:val="auto"/>
                <w:kern w:val="0"/>
                <w:sz w:val="21"/>
                <w:szCs w:val="21"/>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w:t>
            </w: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1.3</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第一出水(RO纯水):电导率≤5μS/cm（25℃）；流速2L/min（取水时间、水质、水量、水温均在线显示）；</w:t>
            </w:r>
          </w:p>
          <w:p>
            <w:pPr>
              <w:keepNext w:val="0"/>
              <w:keepLines w:val="0"/>
              <w:pageBreakBefore w:val="0"/>
              <w:widowControl w:val="0"/>
              <w:kinsoku/>
              <w:wordWrap/>
              <w:overflowPunct/>
              <w:topLinePunct w:val="0"/>
              <w:bidi w:val="0"/>
              <w:spacing w:line="360" w:lineRule="auto"/>
              <w:ind w:firstLineChars="100" w:firstLine="210"/>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第二出水(UP超纯水)：电阻率≥18.2MΩ.cm（取水时间、水质、水量、水温均时间在线显示）；重金属离子≤0.1ppb；微颗粒物（0.22μm）：≤1个/mL；Proteases(蛋白酶) &lt;0.15μg/mL ；热源（内毒素）:≤0.001EU/ml，微生物：≤0.01cfu/ml;总有机碳（TOC）:≤5ppb；核糖核酸酶（RNASES)：≤0.5pg/ml；脱氧核糖核酸酶（DNases)：≤5pg/μl。取水流速：1.5~1.8（L/min）；</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w:t>
            </w: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1.4</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预处理系统：</w:t>
            </w:r>
            <w:r>
              <w:rPr>
                <w:rFonts w:ascii="宋体" w:eastAsia="宋体" w:cs="宋体" w:hint="eastAsia"/>
                <w:color w:val="auto"/>
                <w:kern w:val="0"/>
                <w:sz w:val="21"/>
                <w:szCs w:val="21"/>
                <w:lang w:val="en-US" w:eastAsia="zh-CN"/>
                <w:highlight w:val="auto"/>
              </w:rPr>
              <w:t>标配</w:t>
            </w:r>
            <w:r>
              <w:rPr>
                <w:rFonts w:ascii="宋体" w:eastAsia="宋体" w:cs="宋体" w:hint="eastAsia"/>
                <w:color w:val="auto"/>
                <w:kern w:val="0"/>
                <w:sz w:val="21"/>
                <w:szCs w:val="21"/>
                <w:highlight w:val="auto"/>
              </w:rPr>
              <w:t>两通道10寸注塑型；</w:t>
            </w:r>
            <w:r>
              <w:rPr>
                <w:rFonts w:ascii="宋体" w:eastAsia="宋体" w:cs="宋体" w:hint="eastAsia"/>
                <w:bCs/>
                <w:color w:val="auto"/>
                <w:kern w:val="0"/>
                <w:sz w:val="21"/>
                <w:szCs w:val="21"/>
                <w:highlight w:val="auto"/>
              </w:rPr>
              <w:t>具有超纯水生产用的预处理检测技术</w:t>
            </w:r>
            <w:r>
              <w:rPr>
                <w:rFonts w:ascii="宋体" w:eastAsia="宋体" w:cs="宋体" w:hint="eastAsia"/>
                <w:color w:val="auto"/>
                <w:kern w:val="0"/>
                <w:sz w:val="21"/>
                <w:szCs w:val="21"/>
                <w:highlight w:val="auto"/>
              </w:rPr>
              <w:t>，预处理系统采用</w:t>
            </w:r>
            <w:r>
              <w:rPr>
                <w:rFonts w:ascii="宋体" w:eastAsia="宋体" w:cs="宋体" w:hint="eastAsia"/>
                <w:bCs/>
                <w:color w:val="auto"/>
                <w:kern w:val="0"/>
                <w:sz w:val="21"/>
                <w:szCs w:val="21"/>
                <w:highlight w:val="auto"/>
              </w:rPr>
              <w:t>复合</w:t>
            </w:r>
            <w:r>
              <w:rPr>
                <w:rFonts w:ascii="宋体" w:eastAsia="宋体" w:cs="宋体" w:hint="eastAsia"/>
                <w:color w:val="auto"/>
                <w:kern w:val="0"/>
                <w:sz w:val="21"/>
                <w:szCs w:val="21"/>
                <w:highlight w:val="auto"/>
              </w:rPr>
              <w:t>过滤器高效去除水中钙镁离子，有效保护RO膜</w:t>
            </w:r>
            <w:r>
              <w:rPr>
                <w:rFonts w:ascii="宋体" w:eastAsia="宋体" w:cs="宋体" w:hint="eastAsia"/>
                <w:color w:val="auto"/>
                <w:kern w:val="0"/>
                <w:sz w:val="21"/>
                <w:szCs w:val="21"/>
                <w:lang w:eastAsia="zh-CN"/>
                <w:highlight w:val="auto"/>
              </w:rPr>
              <w:t>；</w:t>
            </w:r>
          </w:p>
          <w:p>
            <w:pPr>
              <w:pStyle w:val="22"/>
              <w:keepNext w:val="0"/>
              <w:keepLines w:val="0"/>
              <w:pageBreakBefore w:val="0"/>
              <w:widowControl w:val="0"/>
              <w:kinsoku/>
              <w:wordWrap/>
              <w:overflowPunct/>
              <w:topLinePunct w:val="0"/>
              <w:bidi w:val="0"/>
              <w:spacing w:line="360" w:lineRule="auto"/>
              <w:ind w:left="0" w:firstLineChars="0" w:firstLine="0"/>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1.5</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lang w:val="en-US" w:eastAsia="zh-CN"/>
                <w:highlight w:val="auto"/>
              </w:rPr>
              <w:t>具有</w:t>
            </w:r>
            <w:r>
              <w:rPr>
                <w:rFonts w:ascii="宋体" w:eastAsia="宋体" w:cs="宋体" w:hint="eastAsia"/>
                <w:color w:val="auto"/>
                <w:kern w:val="0"/>
                <w:sz w:val="21"/>
                <w:szCs w:val="21"/>
                <w:highlight w:val="auto"/>
              </w:rPr>
              <w:t>标准双膜双泵的双级反渗透</w:t>
            </w:r>
            <w:r>
              <w:rPr>
                <w:rFonts w:ascii="宋体" w:eastAsia="宋体" w:cs="宋体" w:hint="eastAsia"/>
                <w:color w:val="auto"/>
                <w:kern w:val="0"/>
                <w:sz w:val="21"/>
                <w:szCs w:val="21"/>
                <w:lang w:val="en-US" w:eastAsia="zh-CN"/>
                <w:highlight w:val="auto"/>
              </w:rPr>
              <w:t>能力</w:t>
            </w:r>
            <w:r>
              <w:rPr>
                <w:rFonts w:ascii="宋体" w:eastAsia="宋体" w:cs="宋体" w:hint="eastAsia"/>
                <w:color w:val="auto"/>
                <w:kern w:val="0"/>
                <w:sz w:val="21"/>
                <w:szCs w:val="21"/>
                <w:lang w:eastAsia="zh-CN"/>
                <w:highlight w:val="auto"/>
              </w:rPr>
              <w:t>；</w:t>
            </w:r>
          </w:p>
          <w:p>
            <w:pPr>
              <w:pStyle w:val="22"/>
              <w:keepNext w:val="0"/>
              <w:keepLines w:val="0"/>
              <w:pageBreakBefore w:val="0"/>
              <w:widowControl w:val="0"/>
              <w:kinsoku/>
              <w:wordWrap/>
              <w:overflowPunct/>
              <w:topLinePunct w:val="0"/>
              <w:bidi w:val="0"/>
              <w:spacing w:line="360" w:lineRule="auto"/>
              <w:ind w:left="0" w:firstLineChars="0" w:firstLine="0"/>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w:t>
            </w: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1.6</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超纯化系统：</w:t>
            </w:r>
            <w:r>
              <w:rPr>
                <w:rFonts w:ascii="宋体" w:eastAsia="宋体" w:cs="宋体" w:hint="eastAsia"/>
                <w:color w:val="auto"/>
                <w:kern w:val="0"/>
                <w:sz w:val="21"/>
                <w:szCs w:val="21"/>
                <w:lang w:val="en-US" w:eastAsia="zh-CN"/>
                <w:highlight w:val="auto"/>
              </w:rPr>
              <w:t>标配</w:t>
            </w:r>
            <w:r>
              <w:rPr>
                <w:rFonts w:ascii="宋体" w:eastAsia="宋体" w:cs="宋体" w:hint="eastAsia"/>
                <w:color w:val="auto"/>
                <w:kern w:val="0"/>
                <w:sz w:val="21"/>
                <w:szCs w:val="21"/>
                <w:highlight w:val="auto"/>
              </w:rPr>
              <w:t>超纯两通道注塑型；具有实验室纯水器一体化超纯化柱的</w:t>
            </w:r>
            <w:r>
              <w:rPr>
                <w:rFonts w:ascii="宋体" w:eastAsia="宋体" w:cs="宋体" w:hint="eastAsia"/>
                <w:color w:val="auto"/>
                <w:kern w:val="0"/>
                <w:sz w:val="21"/>
                <w:szCs w:val="21"/>
                <w:lang w:val="en-US" w:eastAsia="zh-CN"/>
                <w:highlight w:val="auto"/>
              </w:rPr>
              <w:t>功能</w:t>
            </w:r>
            <w:r>
              <w:rPr>
                <w:rFonts w:ascii="宋体" w:eastAsia="宋体" w:cs="宋体" w:hint="eastAsia"/>
                <w:color w:val="auto"/>
                <w:kern w:val="0"/>
                <w:sz w:val="21"/>
                <w:szCs w:val="21"/>
                <w:highlight w:val="auto"/>
              </w:rPr>
              <w:t>、自动清洗功能、智能控制系统及控制办法</w:t>
            </w:r>
            <w:r>
              <w:rPr>
                <w:rFonts w:ascii="宋体" w:eastAsia="宋体" w:cs="宋体" w:hint="eastAsia"/>
                <w:color w:val="auto"/>
                <w:kern w:val="0"/>
                <w:sz w:val="21"/>
                <w:szCs w:val="21"/>
                <w:lang w:eastAsia="zh-CN"/>
                <w:highlight w:val="auto"/>
              </w:rPr>
              <w:t>；</w:t>
            </w:r>
          </w:p>
          <w:p>
            <w:pPr>
              <w:pStyle w:val="22"/>
              <w:keepNext w:val="0"/>
              <w:keepLines w:val="0"/>
              <w:pageBreakBefore w:val="0"/>
              <w:widowControl w:val="0"/>
              <w:kinsoku/>
              <w:wordWrap/>
              <w:overflowPunct/>
              <w:topLinePunct w:val="0"/>
              <w:bidi w:val="0"/>
              <w:spacing w:line="360" w:lineRule="auto"/>
              <w:ind w:left="0" w:firstLineChars="0" w:firstLine="0"/>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1.7</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纯水箱：≥100L 材料：食品级PE，水箱接口配置空气呼吸过滤和卫生溢流清洗装置</w:t>
            </w:r>
            <w:r>
              <w:rPr>
                <w:rFonts w:ascii="宋体" w:eastAsia="宋体" w:cs="宋体" w:hint="eastAsia"/>
                <w:color w:val="auto"/>
                <w:kern w:val="0"/>
                <w:sz w:val="21"/>
                <w:szCs w:val="21"/>
                <w:lang w:eastAsia="zh-CN"/>
                <w:highlight w:val="auto"/>
              </w:rPr>
              <w:t>；</w:t>
            </w:r>
          </w:p>
          <w:p>
            <w:pPr>
              <w:pStyle w:val="22"/>
              <w:keepNext w:val="0"/>
              <w:keepLines w:val="0"/>
              <w:pageBreakBefore w:val="0"/>
              <w:widowControl w:val="0"/>
              <w:kinsoku/>
              <w:wordWrap/>
              <w:overflowPunct/>
              <w:topLinePunct w:val="0"/>
              <w:bidi w:val="0"/>
              <w:spacing w:line="360" w:lineRule="auto"/>
              <w:ind w:left="0" w:firstLineChars="0" w:firstLine="0"/>
              <w:textAlignment w:val="auto"/>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lang w:val="en-US" w:eastAsia="zh-CN"/>
                <w:highlight w:val="auto"/>
              </w:rPr>
              <w:t>2.2、</w:t>
            </w:r>
            <w:r>
              <w:rPr>
                <w:rFonts w:ascii="宋体" w:eastAsia="宋体" w:cs="宋体" w:hint="eastAsia"/>
                <w:b/>
                <w:bCs/>
                <w:color w:val="auto"/>
                <w:kern w:val="0"/>
                <w:sz w:val="21"/>
                <w:szCs w:val="21"/>
                <w:highlight w:val="auto"/>
              </w:rPr>
              <w:t>自动化功能</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2.1</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具有流量监控滤芯更换周期的功能，中文显示滤芯更换信息，历次报警更换记录通过系统可查询；RO纯水超标排放设定功能（设定范围1-99μs/cm；大于设定值RO纯水将排放而不进入纯水箱及后端超纯化系统）；</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2.2</w:t>
            </w: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 xml:space="preserve"> RO反渗透柱/UF超滤柱/UP超纯化柱自动冲洗设定（间隔时间1～9小时）；</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2.3</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lang w:val="en-US" w:eastAsia="zh-CN"/>
                <w:highlight w:val="auto"/>
              </w:rPr>
              <w:t>具有</w:t>
            </w:r>
            <w:r>
              <w:rPr>
                <w:rFonts w:ascii="宋体" w:eastAsia="宋体" w:cs="宋体" w:hint="eastAsia"/>
                <w:color w:val="auto"/>
                <w:kern w:val="0"/>
                <w:sz w:val="21"/>
                <w:szCs w:val="21"/>
                <w:highlight w:val="auto"/>
              </w:rPr>
              <w:t>连续电除盐</w:t>
            </w:r>
            <w:r>
              <w:rPr>
                <w:rFonts w:ascii="宋体" w:eastAsia="宋体" w:cs="宋体" w:hint="eastAsia"/>
                <w:color w:val="auto"/>
                <w:kern w:val="0"/>
                <w:sz w:val="21"/>
                <w:szCs w:val="21"/>
                <w:lang w:val="en-US" w:eastAsia="zh-CN"/>
                <w:highlight w:val="auto"/>
              </w:rPr>
              <w:t>功能</w:t>
            </w:r>
            <w:r>
              <w:rPr>
                <w:rFonts w:ascii="宋体" w:eastAsia="宋体" w:cs="宋体" w:hint="eastAsia"/>
                <w:color w:val="auto"/>
                <w:kern w:val="0"/>
                <w:sz w:val="21"/>
                <w:szCs w:val="21"/>
                <w:highlight w:val="auto"/>
              </w:rPr>
              <w:t>，在水的纯化过程中通过电流作用连续再生，使水箱水质达到国家实验室二级用水标准；</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2.4</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主机内置254/185nm双波长紫外消解仪，降低超纯水TOC，</w:t>
            </w:r>
            <w:r>
              <w:rPr>
                <w:rFonts w:ascii="宋体" w:eastAsia="宋体" w:cs="宋体" w:hint="eastAsia"/>
                <w:bCs/>
                <w:color w:val="auto"/>
                <w:kern w:val="0"/>
                <w:sz w:val="21"/>
                <w:szCs w:val="21"/>
                <w:highlight w:val="auto"/>
              </w:rPr>
              <w:t>UF超滤膜（分子截留量5000Dalton，有效去除热源）</w:t>
            </w:r>
            <w:r>
              <w:rPr>
                <w:rFonts w:ascii="宋体" w:eastAsia="宋体" w:cs="宋体" w:hint="eastAsia"/>
                <w:color w:val="auto"/>
                <w:kern w:val="0"/>
                <w:sz w:val="21"/>
                <w:szCs w:val="21"/>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2.5</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 xml:space="preserve"> 超纯水系统内循环设定（设定时间范围30-180秒）。超纯水定质定量取水功能（设定范围0-18MΩ.cm；水质低于设定值时系统自动内循环满足使用要求）；</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2.6</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配大于等于7寸彩色触摸屏操作屏幕，操作系统实现中英文转换，实时显示源水、一级RO纯水、二级RO纯水EDI超纯水、UP超纯水等各点制水总量，</w:t>
            </w:r>
            <w:r>
              <w:rPr>
                <w:rFonts w:ascii="宋体" w:eastAsia="宋体" w:cs="宋体" w:hint="eastAsia"/>
                <w:color w:val="auto"/>
                <w:sz w:val="21"/>
                <w:szCs w:val="21"/>
                <w:lang w:eastAsia="zh-CN"/>
                <w:highlight w:val="auto"/>
              </w:rPr>
              <w:t>改为实时的水质及水温</w:t>
            </w:r>
            <w:r>
              <w:rPr>
                <w:rFonts w:ascii="宋体" w:eastAsia="宋体" w:cs="宋体" w:hint="eastAsia"/>
                <w:color w:val="auto"/>
                <w:kern w:val="0"/>
                <w:sz w:val="21"/>
                <w:szCs w:val="21"/>
                <w:highlight w:val="auto"/>
              </w:rPr>
              <w:t>、水箱液位、终端取水状态、信息栏显示系统运行状态；</w:t>
            </w:r>
            <w:r>
              <w:rPr>
                <w:rFonts w:ascii="宋体" w:eastAsia="宋体" w:cs="宋体" w:hint="eastAsia"/>
                <w:b/>
                <w:bCs/>
                <w:color w:val="auto"/>
                <w:kern w:val="0"/>
                <w:sz w:val="21"/>
                <w:szCs w:val="21"/>
                <w:highlight w:val="auto"/>
              </w:rPr>
              <w:t>（</w:t>
            </w:r>
            <w:r>
              <w:rPr>
                <w:rFonts w:ascii="宋体" w:eastAsia="宋体" w:cs="宋体" w:hint="eastAsia"/>
                <w:b/>
                <w:bCs/>
                <w:color w:val="auto"/>
                <w:kern w:val="0"/>
                <w:sz w:val="21"/>
                <w:szCs w:val="21"/>
                <w:lang w:val="en-US" w:eastAsia="zh-CN"/>
                <w:highlight w:val="auto"/>
              </w:rPr>
              <w:t>需提供</w:t>
            </w:r>
            <w:r>
              <w:rPr>
                <w:rFonts w:ascii="宋体" w:eastAsia="宋体" w:cs="宋体" w:hint="eastAsia"/>
                <w:b/>
                <w:bCs/>
                <w:color w:val="auto"/>
                <w:kern w:val="0"/>
                <w:sz w:val="21"/>
                <w:szCs w:val="21"/>
                <w:highlight w:val="auto"/>
              </w:rPr>
              <w:t>具有超纯水机状态参数实时回馈监控系统的相关证明</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kern w:val="0"/>
                <w:sz w:val="21"/>
                <w:szCs w:val="21"/>
                <w:highlight w:val="auto"/>
              </w:rPr>
              <w:t>）</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2.7</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历史制取纯水及超纯水数据库存储查询功能（保证水质品质朔源性）：</w:t>
            </w:r>
          </w:p>
          <w:p>
            <w:pPr>
              <w:keepNext w:val="0"/>
              <w:keepLines w:val="0"/>
              <w:pageBreakBefore w:val="0"/>
              <w:widowControl/>
              <w:kinsoku/>
              <w:wordWrap/>
              <w:overflowPunct/>
              <w:topLinePunct w:val="0"/>
              <w:bidi w:val="0"/>
              <w:spacing w:line="360" w:lineRule="auto"/>
              <w:ind w:firstLineChars="200" w:firstLine="420"/>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(1)历次取水时间和容量可查询并存储（年/月/日/时/分/升</w:t>
            </w:r>
          </w:p>
          <w:p>
            <w:pPr>
              <w:keepNext w:val="0"/>
              <w:keepLines w:val="0"/>
              <w:pageBreakBefore w:val="0"/>
              <w:widowControl/>
              <w:kinsoku/>
              <w:wordWrap/>
              <w:overflowPunct/>
              <w:topLinePunct w:val="0"/>
              <w:bidi w:val="0"/>
              <w:spacing w:line="360" w:lineRule="auto"/>
              <w:ind w:firstLineChars="200" w:firstLine="420"/>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(2)历次取水水质/温度可查询并存储（RO电导率/UP电阻率 ）</w:t>
            </w:r>
          </w:p>
          <w:p>
            <w:pPr>
              <w:keepNext w:val="0"/>
              <w:keepLines w:val="0"/>
              <w:pageBreakBefore w:val="0"/>
              <w:widowControl/>
              <w:kinsoku/>
              <w:wordWrap/>
              <w:overflowPunct/>
              <w:topLinePunct w:val="0"/>
              <w:bidi w:val="0"/>
              <w:spacing w:line="360" w:lineRule="auto"/>
              <w:ind w:firstLineChars="200" w:firstLine="420"/>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(3)累计总制水量并存储（升）</w:t>
            </w:r>
          </w:p>
          <w:p>
            <w:pPr>
              <w:keepNext w:val="0"/>
              <w:keepLines w:val="0"/>
              <w:pageBreakBefore w:val="0"/>
              <w:widowControl/>
              <w:kinsoku/>
              <w:wordWrap/>
              <w:overflowPunct/>
              <w:topLinePunct w:val="0"/>
              <w:bidi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2.8</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系统自动保护：</w:t>
            </w:r>
          </w:p>
          <w:p>
            <w:pPr>
              <w:keepNext w:val="0"/>
              <w:keepLines w:val="0"/>
              <w:pageBreakBefore w:val="0"/>
              <w:widowControl/>
              <w:kinsoku/>
              <w:wordWrap/>
              <w:overflowPunct/>
              <w:topLinePunct w:val="0"/>
              <w:bidi w:val="0"/>
              <w:spacing w:line="360" w:lineRule="auto"/>
              <w:ind w:firstLineChars="200" w:firstLine="420"/>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(1)缺水/低水压系统自动停机保护（面板显示“系统缺水保护中”）</w:t>
            </w:r>
          </w:p>
          <w:p>
            <w:pPr>
              <w:keepNext w:val="0"/>
              <w:keepLines w:val="0"/>
              <w:pageBreakBefore w:val="0"/>
              <w:widowControl/>
              <w:kinsoku/>
              <w:wordWrap/>
              <w:overflowPunct/>
              <w:topLinePunct w:val="0"/>
              <w:bidi w:val="0"/>
              <w:spacing w:line="360" w:lineRule="auto"/>
              <w:ind w:firstLineChars="200" w:firstLine="420"/>
              <w:jc w:val="left"/>
              <w:textAlignment w:val="auto"/>
              <w:rPr>
                <w:rFonts w:ascii="宋体" w:eastAsia="宋体" w:cs="宋体" w:hint="eastAsia"/>
                <w:color w:val="auto"/>
                <w:sz w:val="21"/>
                <w:szCs w:val="21"/>
                <w:highlight w:val="auto"/>
              </w:rPr>
            </w:pPr>
            <w:r>
              <w:rPr>
                <w:rFonts w:ascii="宋体" w:eastAsia="宋体" w:cs="宋体" w:hint="eastAsia"/>
                <w:color w:val="auto"/>
                <w:kern w:val="0"/>
                <w:sz w:val="21"/>
                <w:szCs w:val="21"/>
                <w:highlight w:val="auto"/>
              </w:rPr>
              <w:t>(2)水箱满水系统自动停机保护（图形显示水箱水位及水位百分比）</w:t>
            </w:r>
            <w:r>
              <w:rPr>
                <w:rFonts w:ascii="宋体" w:eastAsia="宋体" w:cs="宋体" w:hint="eastAsia"/>
                <w:color w:val="auto"/>
                <w:kern w:val="0"/>
                <w:sz w:val="21"/>
                <w:szCs w:val="21"/>
                <w:lang w:eastAsia="zh-CN"/>
                <w:highlight w:val="auto"/>
              </w:rPr>
              <w:t>。</w:t>
            </w:r>
          </w:p>
        </w:tc>
      </w:tr>
      <w:tr>
        <w:tc>
          <w:tcPr>
            <w:tcW w:w="858"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auto"/>
                <w:sz w:val="21"/>
                <w:szCs w:val="21"/>
                <w:lang w:val="en-US" w:eastAsia="zh-CN"/>
                <w:highlight w:val="auto"/>
              </w:rPr>
            </w:pPr>
            <w:r>
              <w:rPr>
                <w:rFonts w:ascii="宋体" w:eastAsia="宋体" w:cs="宋体" w:hint="eastAsia"/>
                <w:color w:val="auto"/>
                <w:sz w:val="21"/>
                <w:szCs w:val="21"/>
                <w:lang w:val="en-US" w:eastAsia="zh-CN"/>
                <w:highlight w:val="auto"/>
              </w:rPr>
              <w:t>5</w:t>
            </w:r>
          </w:p>
        </w:tc>
        <w:tc>
          <w:tcPr>
            <w:tcW w:w="1730" w:type="dxa"/>
            <w:shd w:val="clear" w:color="auto" w:fill="auto"/>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color w:val="auto"/>
                <w:kern w:val="2"/>
                <w:sz w:val="21"/>
                <w:szCs w:val="21"/>
                <w:lang w:val="en-US" w:eastAsia="zh-CN" w:bidi="ar-SA"/>
                <w:highlight w:val="auto"/>
              </w:rPr>
            </w:pPr>
            <w:r>
              <w:rPr>
                <w:rFonts w:ascii="宋体" w:eastAsia="宋体" w:cs="宋体" w:hint="eastAsia"/>
                <w:b w:val="0"/>
                <w:bCs w:val="0"/>
                <w:color w:val="auto"/>
                <w:sz w:val="21"/>
                <w:szCs w:val="21"/>
                <w:highlight w:val="auto"/>
              </w:rPr>
              <w:t>紫外可见分光光度计</w:t>
            </w:r>
            <w:r>
              <w:rPr>
                <w:rFonts w:ascii="宋体" w:hint="eastAsia"/>
                <w:color w:val="auto"/>
                <w:szCs w:val="21"/>
                <w:lang w:val="en-US" w:eastAsia="zh-CN"/>
                <w:highlight w:val="auto"/>
              </w:rPr>
              <w:t>（核心产品）</w:t>
            </w:r>
          </w:p>
        </w:tc>
        <w:tc>
          <w:tcPr>
            <w:tcW w:w="6132" w:type="dxa"/>
            <w:shd w:val="clear" w:color="auto" w:fill="auto"/>
          </w:tcPr>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b/>
                <w:bCs/>
                <w:color w:val="auto"/>
                <w:kern w:val="0"/>
                <w:sz w:val="21"/>
                <w:szCs w:val="21"/>
                <w:highlight w:val="auto"/>
              </w:rPr>
            </w:pPr>
            <w:r>
              <w:rPr>
                <w:rFonts w:ascii="宋体" w:eastAsia="宋体" w:cs="宋体" w:hint="eastAsia"/>
                <w:b/>
                <w:bCs/>
                <w:color w:val="auto"/>
                <w:sz w:val="21"/>
                <w:szCs w:val="21"/>
                <w:lang w:val="en-US" w:eastAsia="zh-CN"/>
                <w:highlight w:val="auto"/>
              </w:rPr>
              <w:t xml:space="preserve"> </w:t>
            </w:r>
            <w:r>
              <w:rPr>
                <w:rFonts w:ascii="宋体" w:eastAsia="宋体" w:cs="宋体" w:hint="eastAsia"/>
                <w:b/>
                <w:bCs/>
                <w:color w:val="auto"/>
                <w:kern w:val="0"/>
                <w:sz w:val="21"/>
                <w:szCs w:val="21"/>
                <w:lang w:val="en-US" w:eastAsia="zh-CN"/>
                <w:highlight w:val="auto"/>
              </w:rPr>
              <w:t>1</w:t>
            </w:r>
            <w:r>
              <w:rPr>
                <w:rFonts w:ascii="宋体" w:eastAsia="宋体" w:cs="宋体" w:hint="eastAsia"/>
                <w:b/>
                <w:bCs/>
                <w:color w:val="auto"/>
                <w:kern w:val="0"/>
                <w:sz w:val="21"/>
                <w:szCs w:val="21"/>
                <w:highlight w:val="auto"/>
              </w:rPr>
              <w:t>、主要用途</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主要用于无机物、有机化合物等样品对紫外可见光的吸收，反射等测定并进行定量分析，完成实验需求；</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lang w:val="en-US" w:eastAsia="zh-CN"/>
                <w:highlight w:val="auto"/>
              </w:rPr>
              <w:t>2</w:t>
            </w:r>
            <w:r>
              <w:rPr>
                <w:rFonts w:ascii="宋体" w:eastAsia="宋体" w:cs="宋体" w:hint="eastAsia"/>
                <w:b/>
                <w:bCs/>
                <w:color w:val="auto"/>
                <w:kern w:val="0"/>
                <w:sz w:val="21"/>
                <w:szCs w:val="21"/>
                <w:highlight w:val="auto"/>
              </w:rPr>
              <w:t>、技术参数要求</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kern w:val="0"/>
                <w:sz w:val="21"/>
                <w:szCs w:val="21"/>
                <w:lang w:val="en-US" w:eastAsia="zh-CN"/>
                <w:highlight w:val="auto"/>
              </w:rPr>
              <w:t>2.1</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双光束、双单色器光学系统，可降低杂散光干扰，适合高浓度样品或者吸收峰较杂窄的物质测量；</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2.2</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独立的模块化设计，插座式汞灯、氘灯和钨灯单元，仪器换灯维护简单方便；</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2.3</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可适配自动八联池、多功能自动进样器、恒温池架、光学积分球、镜面反射附件、可变光程样品架、可变角度固体样品架等专用附件；</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w:t>
            </w:r>
            <w:r>
              <w:rPr>
                <w:rFonts w:ascii="宋体" w:eastAsia="宋体" w:cs="宋体" w:hint="eastAsia"/>
                <w:color w:val="auto"/>
                <w:kern w:val="0"/>
                <w:sz w:val="21"/>
                <w:szCs w:val="21"/>
                <w:highlight w:val="auto"/>
              </w:rPr>
              <w:t>4</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可按需要配置100多位多功能自动进样器</w:t>
            </w:r>
            <w:r>
              <w:rPr>
                <w:rFonts w:ascii="宋体" w:eastAsia="宋体" w:cs="宋体" w:hint="eastAsia"/>
                <w:color w:val="auto"/>
                <w:kern w:val="0"/>
                <w:sz w:val="21"/>
                <w:szCs w:val="21"/>
                <w:lang w:eastAsia="zh-CN"/>
                <w:highlight w:val="auto"/>
              </w:rPr>
              <w:t>；</w:t>
            </w:r>
            <w:r>
              <w:rPr>
                <w:rFonts w:ascii="宋体" w:eastAsia="宋体" w:cs="宋体" w:hint="eastAsia"/>
                <w:b/>
                <w:bCs/>
                <w:color w:val="auto"/>
                <w:kern w:val="0"/>
                <w:sz w:val="21"/>
                <w:szCs w:val="21"/>
                <w:highlight w:val="auto"/>
              </w:rPr>
              <w:t>（</w:t>
            </w:r>
            <w:r>
              <w:rPr>
                <w:rFonts w:ascii="宋体" w:eastAsia="宋体" w:cs="宋体" w:hint="eastAsia"/>
                <w:b/>
                <w:bCs/>
                <w:color w:val="auto"/>
                <w:kern w:val="0"/>
                <w:sz w:val="21"/>
                <w:szCs w:val="21"/>
                <w:lang w:val="en-US" w:eastAsia="zh-CN"/>
                <w:highlight w:val="auto"/>
              </w:rPr>
              <w:t>需</w:t>
            </w:r>
            <w:r>
              <w:rPr>
                <w:rFonts w:ascii="宋体" w:eastAsia="宋体" w:cs="宋体" w:hint="eastAsia"/>
                <w:b/>
                <w:bCs/>
                <w:color w:val="auto"/>
                <w:kern w:val="0"/>
                <w:sz w:val="21"/>
                <w:szCs w:val="21"/>
                <w:highlight w:val="auto"/>
              </w:rPr>
              <w:t>提供大于等于100位自动进样器彩页和实物图片</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kern w:val="0"/>
                <w:sz w:val="21"/>
                <w:szCs w:val="21"/>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5</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配备的分析软件，可实现光度测量、定量测量、光谱扫描、动力学分析等测量功能，同时具有强大的数据处理能力；</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w:t>
            </w:r>
            <w:r>
              <w:rPr>
                <w:rFonts w:ascii="宋体" w:eastAsia="宋体" w:cs="宋体" w:hint="eastAsia"/>
                <w:color w:val="auto"/>
                <w:kern w:val="0"/>
                <w:sz w:val="21"/>
                <w:szCs w:val="21"/>
                <w:highlight w:val="auto"/>
              </w:rPr>
              <w:t>6</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波长可测试范围:190nm～1400nm</w:t>
            </w:r>
            <w:r>
              <w:rPr>
                <w:rFonts w:ascii="宋体" w:eastAsia="宋体" w:cs="宋体" w:hint="eastAsia"/>
                <w:color w:val="auto"/>
                <w:kern w:val="0"/>
                <w:sz w:val="21"/>
                <w:szCs w:val="21"/>
                <w:lang w:eastAsia="zh-CN"/>
                <w:highlight w:val="auto"/>
              </w:rPr>
              <w:t>；</w:t>
            </w:r>
            <w:r>
              <w:rPr>
                <w:rFonts w:ascii="宋体" w:eastAsia="宋体" w:cs="宋体" w:hint="eastAsia"/>
                <w:b/>
                <w:bCs/>
                <w:color w:val="auto"/>
                <w:kern w:val="0"/>
                <w:sz w:val="21"/>
                <w:szCs w:val="21"/>
                <w:highlight w:val="auto"/>
              </w:rPr>
              <w:t>（</w:t>
            </w:r>
            <w:r>
              <w:rPr>
                <w:rFonts w:ascii="宋体" w:eastAsia="宋体" w:cs="宋体" w:hint="eastAsia"/>
                <w:b/>
                <w:bCs/>
                <w:color w:val="auto"/>
                <w:kern w:val="0"/>
                <w:sz w:val="21"/>
                <w:szCs w:val="21"/>
                <w:lang w:val="en-US" w:eastAsia="zh-CN"/>
                <w:highlight w:val="auto"/>
              </w:rPr>
              <w:t>需</w:t>
            </w:r>
            <w:r>
              <w:rPr>
                <w:rFonts w:ascii="宋体" w:eastAsia="宋体" w:cs="宋体" w:hint="eastAsia"/>
                <w:b/>
                <w:bCs/>
                <w:color w:val="auto"/>
                <w:kern w:val="0"/>
                <w:sz w:val="21"/>
                <w:szCs w:val="21"/>
                <w:highlight w:val="auto"/>
              </w:rPr>
              <w:t>提供波长范围可达190-1400nm软件实物截图</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kern w:val="0"/>
                <w:sz w:val="21"/>
                <w:szCs w:val="21"/>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lang w:eastAsia="zh-CN"/>
                <w:highlight w:val="auto"/>
              </w:rPr>
            </w:pPr>
            <w:r>
              <w:rPr>
                <w:rFonts w:ascii="宋体" w:eastAsia="宋体" w:cs="宋体" w:hint="eastAsia"/>
                <w:color w:val="auto"/>
                <w:kern w:val="0"/>
                <w:sz w:val="21"/>
                <w:szCs w:val="21"/>
                <w:highlight w:val="auto"/>
              </w:rPr>
              <w:t>▲</w:t>
            </w: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7</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光谱带宽: 0.1~5.0nm（以0.1nm间隔连续可调）</w:t>
            </w:r>
            <w:r>
              <w:rPr>
                <w:rFonts w:ascii="宋体" w:eastAsia="宋体" w:cs="宋体" w:hint="eastAsia"/>
                <w:color w:val="auto"/>
                <w:kern w:val="0"/>
                <w:sz w:val="21"/>
                <w:szCs w:val="21"/>
                <w:lang w:eastAsia="zh-CN"/>
                <w:highlight w:val="auto"/>
              </w:rPr>
              <w: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8</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波长示值误差：±0.3nm（全波长）；</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sz w:val="21"/>
                <w:szCs w:val="21"/>
                <w:highlight w:val="auto"/>
              </w:rPr>
              <w:t>★</w:t>
            </w:r>
            <w:r>
              <w:rPr>
                <w:rFonts w:ascii="宋体" w:eastAsia="宋体" w:cs="宋体" w:hint="eastAsia"/>
                <w:color w:val="auto"/>
                <w:sz w:val="21"/>
                <w:szCs w:val="21"/>
                <w:lang w:val="en-US" w:eastAsia="zh-CN"/>
                <w:highlight w:val="auto"/>
              </w:rPr>
              <w:t>2.</w:t>
            </w:r>
            <w:r>
              <w:rPr>
                <w:rFonts w:ascii="宋体" w:eastAsia="宋体" w:cs="宋体" w:hint="eastAsia"/>
                <w:color w:val="auto"/>
                <w:kern w:val="0"/>
                <w:sz w:val="21"/>
                <w:szCs w:val="21"/>
                <w:highlight w:val="auto"/>
              </w:rPr>
              <w:t>9</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波长重复性:0.05nm；</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10</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透射比示值误差：±0.3%；</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w:t>
            </w: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11</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杂散光:≤0.00004%T；</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w:t>
            </w: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12</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内置氘灯、钨灯、汞灯，汞灯可实时对仪器波长进行校准</w:t>
            </w:r>
            <w:r>
              <w:rPr>
                <w:rFonts w:ascii="宋体" w:eastAsia="宋体" w:cs="宋体" w:hint="eastAsia"/>
                <w:color w:val="auto"/>
                <w:kern w:val="0"/>
                <w:sz w:val="21"/>
                <w:szCs w:val="21"/>
                <w:lang w:eastAsia="zh-CN"/>
                <w:highlight w:val="auto"/>
              </w:rPr>
              <w:t>；</w:t>
            </w:r>
            <w:r>
              <w:rPr>
                <w:rFonts w:ascii="宋体" w:eastAsia="宋体" w:cs="宋体" w:hint="eastAsia"/>
                <w:b/>
                <w:bCs/>
                <w:color w:val="auto"/>
                <w:kern w:val="0"/>
                <w:sz w:val="21"/>
                <w:szCs w:val="21"/>
                <w:highlight w:val="auto"/>
              </w:rPr>
              <w:t>（</w:t>
            </w:r>
            <w:r>
              <w:rPr>
                <w:rFonts w:ascii="宋体" w:eastAsia="宋体" w:cs="宋体" w:hint="eastAsia"/>
                <w:b/>
                <w:bCs/>
                <w:color w:val="auto"/>
                <w:kern w:val="0"/>
                <w:sz w:val="21"/>
                <w:szCs w:val="21"/>
                <w:lang w:val="en-US" w:eastAsia="zh-CN"/>
                <w:highlight w:val="auto"/>
              </w:rPr>
              <w:t>需</w:t>
            </w:r>
            <w:r>
              <w:rPr>
                <w:rFonts w:ascii="宋体" w:eastAsia="宋体" w:cs="宋体" w:hint="eastAsia"/>
                <w:b/>
                <w:bCs/>
                <w:color w:val="auto"/>
                <w:kern w:val="0"/>
                <w:sz w:val="21"/>
                <w:szCs w:val="21"/>
                <w:highlight w:val="auto"/>
              </w:rPr>
              <w:t>提供灯室实物图片并标注灯源</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kern w:val="0"/>
                <w:sz w:val="21"/>
                <w:szCs w:val="21"/>
                <w:highlight w:val="auto"/>
              </w:rPr>
              <w:t xml:space="preserve">）； </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13</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检测器：PMT（光电倍增管）；</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 xml:space="preserve">14 </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操作方式：计算机控制；</w:t>
            </w:r>
          </w:p>
          <w:p>
            <w:pPr>
              <w:keepNext w:val="0"/>
              <w:keepLines w:val="0"/>
              <w:pageBreakBefore w:val="0"/>
              <w:widowControl/>
              <w:tabs>
                <w:tab w:val="left" w:pos="2100"/>
              </w:tabs>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0"/>
                <w:sz w:val="21"/>
                <w:szCs w:val="21"/>
                <w:highlight w:val="auto"/>
              </w:rPr>
            </w:pPr>
            <w:r>
              <w:rPr>
                <w:rFonts w:ascii="宋体" w:eastAsia="宋体" w:cs="宋体" w:hint="eastAsia"/>
                <w:color w:val="auto"/>
                <w:kern w:val="0"/>
                <w:sz w:val="21"/>
                <w:szCs w:val="21"/>
                <w:highlight w:val="auto"/>
              </w:rPr>
              <w:t>▲</w:t>
            </w:r>
            <w:r>
              <w:rPr>
                <w:rFonts w:ascii="宋体" w:eastAsia="宋体" w:cs="宋体" w:hint="eastAsia"/>
                <w:color w:val="auto"/>
                <w:kern w:val="0"/>
                <w:sz w:val="21"/>
                <w:szCs w:val="21"/>
                <w:lang w:val="en-US" w:eastAsia="zh-CN"/>
                <w:highlight w:val="auto"/>
              </w:rPr>
              <w:t>2.</w:t>
            </w:r>
            <w:r>
              <w:rPr>
                <w:rFonts w:ascii="宋体" w:eastAsia="宋体" w:cs="宋体" w:hint="eastAsia"/>
                <w:color w:val="auto"/>
                <w:kern w:val="0"/>
                <w:sz w:val="21"/>
                <w:szCs w:val="21"/>
                <w:highlight w:val="auto"/>
              </w:rPr>
              <w:t>15</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highlight w:val="auto"/>
              </w:rPr>
              <w:t>整机</w:t>
            </w:r>
            <w:r>
              <w:rPr>
                <w:rFonts w:ascii="宋体" w:eastAsia="宋体" w:cs="宋体" w:hint="eastAsia"/>
                <w:color w:val="auto"/>
                <w:kern w:val="0"/>
                <w:sz w:val="21"/>
                <w:szCs w:val="21"/>
                <w:lang w:val="en-US" w:eastAsia="zh-CN"/>
                <w:highlight w:val="auto"/>
              </w:rPr>
              <w:t>为</w:t>
            </w:r>
            <w:r>
              <w:rPr>
                <w:rFonts w:ascii="宋体" w:eastAsia="宋体" w:cs="宋体" w:hint="eastAsia"/>
                <w:color w:val="auto"/>
                <w:kern w:val="0"/>
                <w:sz w:val="21"/>
                <w:szCs w:val="21"/>
                <w:highlight w:val="auto"/>
              </w:rPr>
              <w:t>光学系统悬架式</w:t>
            </w:r>
            <w:r>
              <w:rPr>
                <w:rFonts w:ascii="宋体" w:eastAsia="宋体" w:cs="宋体" w:hint="eastAsia"/>
                <w:color w:val="auto"/>
                <w:kern w:val="0"/>
                <w:sz w:val="21"/>
                <w:szCs w:val="21"/>
                <w:lang w:eastAsia="zh-CN"/>
                <w:highlight w:val="auto"/>
              </w:rPr>
              <w:t>，</w:t>
            </w:r>
            <w:r>
              <w:rPr>
                <w:rFonts w:ascii="宋体" w:eastAsia="宋体" w:cs="宋体" w:hint="eastAsia"/>
                <w:color w:val="auto"/>
                <w:kern w:val="0"/>
                <w:sz w:val="21"/>
                <w:szCs w:val="21"/>
                <w:lang w:val="en-US" w:eastAsia="zh-CN"/>
                <w:highlight w:val="auto"/>
              </w:rPr>
              <w:t>整体光路独立固定在无变形光学基座上，杜绝外界灰尘、湿气、运输等对光学元器件的干扰</w:t>
            </w:r>
            <w:r>
              <w:rPr>
                <w:rFonts w:ascii="宋体" w:eastAsia="宋体" w:cs="宋体" w:hint="eastAsia"/>
                <w:color w:val="auto"/>
                <w:kern w:val="0"/>
                <w:sz w:val="21"/>
                <w:szCs w:val="21"/>
                <w:lang w:eastAsia="zh-CN"/>
                <w:highlight w:val="auto"/>
              </w:rPr>
              <w:t>；</w:t>
            </w:r>
            <w:r>
              <w:rPr>
                <w:rFonts w:ascii="宋体" w:eastAsia="宋体" w:cs="宋体" w:hint="eastAsia"/>
                <w:b/>
                <w:bCs/>
                <w:color w:val="auto"/>
                <w:kern w:val="0"/>
                <w:sz w:val="21"/>
                <w:szCs w:val="21"/>
                <w:highlight w:val="auto"/>
              </w:rPr>
              <w:t>（</w:t>
            </w:r>
            <w:r>
              <w:rPr>
                <w:rFonts w:ascii="宋体" w:eastAsia="宋体" w:cs="宋体" w:hint="eastAsia"/>
                <w:b/>
                <w:bCs/>
                <w:color w:val="auto"/>
                <w:kern w:val="0"/>
                <w:sz w:val="21"/>
                <w:szCs w:val="21"/>
                <w:lang w:val="en-US" w:eastAsia="zh-CN"/>
                <w:highlight w:val="auto"/>
              </w:rPr>
              <w:t>需</w:t>
            </w:r>
            <w:r>
              <w:rPr>
                <w:rFonts w:ascii="宋体" w:eastAsia="宋体" w:cs="宋体" w:hint="eastAsia"/>
                <w:b/>
                <w:bCs/>
                <w:color w:val="auto"/>
                <w:kern w:val="0"/>
                <w:sz w:val="21"/>
                <w:szCs w:val="21"/>
                <w:highlight w:val="auto"/>
              </w:rPr>
              <w:t>提供光学基座实物图片证明</w:t>
            </w:r>
            <w:r>
              <w:rPr>
                <w:rFonts w:ascii="宋体" w:eastAsia="宋体" w:cs="宋体" w:hint="eastAsia"/>
                <w:b/>
                <w:bCs/>
                <w:color w:val="auto"/>
                <w:sz w:val="21"/>
                <w:szCs w:val="21"/>
                <w:highlight w:val="auto"/>
              </w:rPr>
              <w:t>或承诺验收时可体现该</w:t>
            </w:r>
            <w:r>
              <w:rPr>
                <w:rFonts w:ascii="宋体" w:eastAsia="宋体" w:cs="宋体" w:hint="eastAsia"/>
                <w:b/>
                <w:bCs/>
                <w:color w:val="auto"/>
                <w:sz w:val="21"/>
                <w:szCs w:val="21"/>
                <w:lang w:val="en-US" w:eastAsia="zh-CN"/>
                <w:highlight w:val="auto"/>
              </w:rPr>
              <w:t>功能</w:t>
            </w:r>
            <w:r>
              <w:rPr>
                <w:rFonts w:ascii="宋体" w:eastAsia="宋体" w:cs="宋体" w:hint="eastAsia"/>
                <w:b/>
                <w:bCs/>
                <w:color w:val="auto"/>
                <w:sz w:val="21"/>
                <w:szCs w:val="21"/>
                <w:highlight w:val="auto"/>
              </w:rPr>
              <w:t>的，验收时</w:t>
            </w:r>
            <w:r>
              <w:rPr>
                <w:rFonts w:ascii="宋体" w:eastAsia="宋体" w:cs="宋体" w:hint="eastAsia"/>
                <w:b/>
                <w:bCs/>
                <w:color w:val="auto"/>
                <w:sz w:val="21"/>
                <w:szCs w:val="21"/>
                <w:lang w:val="en-US" w:eastAsia="zh-CN"/>
                <w:highlight w:val="auto"/>
              </w:rPr>
              <w:t>与偏离表中响应情况不一致时，采购人有权上报上级主管部门，有权</w:t>
            </w:r>
            <w:r>
              <w:rPr>
                <w:rFonts w:ascii="宋体" w:eastAsia="宋体" w:cs="宋体" w:hint="eastAsia"/>
                <w:b/>
                <w:bCs/>
                <w:color w:val="auto"/>
                <w:sz w:val="21"/>
                <w:szCs w:val="21"/>
                <w:highlight w:val="auto"/>
              </w:rPr>
              <w:t>拒收，不予付款</w:t>
            </w:r>
            <w:r>
              <w:rPr>
                <w:rFonts w:ascii="宋体" w:eastAsia="宋体" w:cs="宋体" w:hint="eastAsia"/>
                <w:color w:val="auto"/>
                <w:kern w:val="0"/>
                <w:sz w:val="21"/>
                <w:szCs w:val="21"/>
                <w:highlight w:val="auto"/>
              </w:rPr>
              <w:t xml:space="preserve">）； </w:t>
            </w:r>
          </w:p>
          <w:p>
            <w:pPr>
              <w:keepNext w:val="0"/>
              <w:keepLines w:val="0"/>
              <w:pageBreakBefore w:val="0"/>
              <w:widowControl/>
              <w:kinsoku/>
              <w:wordWrap/>
              <w:overflowPunct/>
              <w:topLinePunct w:val="0"/>
              <w:autoSpaceDE w:val="0"/>
              <w:autoSpaceDN w:val="0"/>
              <w:bidi w:val="0"/>
              <w:adjustRightInd w:val="0"/>
              <w:snapToGrid w:val="0"/>
              <w:spacing w:line="360" w:lineRule="auto"/>
              <w:jc w:val="left"/>
              <w:textAlignment w:val="auto"/>
              <w:rPr>
                <w:rFonts w:ascii="宋体" w:eastAsia="宋体" w:cs="宋体" w:hint="eastAsia"/>
                <w:color w:val="auto"/>
                <w:kern w:val="2"/>
                <w:sz w:val="21"/>
                <w:szCs w:val="21"/>
                <w:lang w:val="en-US" w:eastAsia="zh-CN" w:bidi="ar-SA"/>
                <w:highlight w:val="auto"/>
              </w:rPr>
            </w:pPr>
            <w:r>
              <w:rPr>
                <w:rFonts w:ascii="宋体" w:eastAsia="宋体" w:cs="宋体" w:hint="eastAsia"/>
                <w:color w:val="auto"/>
                <w:sz w:val="21"/>
                <w:szCs w:val="21"/>
                <w:lang w:val="en-US" w:eastAsia="zh-CN"/>
                <w:highlight w:val="auto"/>
              </w:rPr>
              <w:t>2.</w:t>
            </w:r>
            <w:r>
              <w:rPr>
                <w:rFonts w:ascii="宋体" w:eastAsia="宋体" w:cs="宋体" w:hint="eastAsia"/>
                <w:color w:val="auto"/>
                <w:sz w:val="21"/>
                <w:szCs w:val="21"/>
                <w:highlight w:val="auto"/>
              </w:rPr>
              <w:t>16</w:t>
            </w:r>
            <w:r>
              <w:rPr>
                <w:rFonts w:ascii="宋体" w:eastAsia="宋体" w:cs="宋体" w:hint="eastAsia"/>
                <w:color w:val="auto"/>
                <w:sz w:val="21"/>
                <w:szCs w:val="21"/>
                <w:lang w:eastAsia="zh-CN"/>
                <w:highlight w:val="auto"/>
              </w:rPr>
              <w:t>、</w:t>
            </w:r>
            <w:r>
              <w:rPr>
                <w:rFonts w:ascii="宋体" w:eastAsia="宋体" w:cs="宋体" w:hint="eastAsia"/>
                <w:color w:val="auto"/>
                <w:sz w:val="21"/>
                <w:szCs w:val="21"/>
                <w:highlight w:val="auto"/>
              </w:rPr>
              <w:t>自动进样器进样模式采用蠕动泵自动进样，可根据用户需要实现点动进样或者连续进样。</w:t>
            </w:r>
          </w:p>
        </w:tc>
      </w:tr>
    </w:tbl>
    <w:p>
      <w:pPr>
        <w:keepNext w:val="0"/>
        <w:keepLines w:val="0"/>
        <w:pageBreakBefore w:val="0"/>
        <w:widowControl w:val="0"/>
        <w:kinsoku/>
        <w:wordWrap/>
        <w:overflowPunct/>
        <w:topLinePunct w:val="0"/>
        <w:autoSpaceDE/>
        <w:autoSpaceDN/>
        <w:bidi w:val="0"/>
        <w:spacing w:line="360" w:lineRule="auto"/>
        <w:textAlignment w:val="auto"/>
        <w:rPr>
          <w:rFonts w:ascii="宋体" w:cs="宋体"/>
          <w:b/>
          <w:color w:val="auto"/>
          <w:szCs w:val="21"/>
          <w:highlight w:val="auto"/>
        </w:rPr>
      </w:pPr>
      <w:r>
        <w:rPr>
          <w:rFonts w:ascii="宋体" w:cs="宋体" w:hint="eastAsia"/>
          <w:b/>
          <w:color w:val="auto"/>
          <w:szCs w:val="21"/>
          <w:highlight w:val="auto"/>
        </w:rPr>
        <w:t>三、服务要求，商务要求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color w:val="auto"/>
          <w:szCs w:val="21"/>
          <w:highlight w:val="auto"/>
        </w:rPr>
        <w:t>1．</w:t>
      </w:r>
      <w:r>
        <w:rPr>
          <w:rFonts w:ascii="宋体" w:eastAsia="宋体" w:cs="宋体" w:hint="eastAsia"/>
          <w:b/>
          <w:bCs/>
          <w:color w:val="auto"/>
          <w:lang w:val="en-US" w:eastAsia="zh-CN"/>
          <w:highlight w:val="auto"/>
        </w:rPr>
        <w:t>交货期</w:t>
      </w:r>
      <w:r>
        <w:rPr>
          <w:rFonts w:ascii="宋体" w:eastAsia="宋体" w:cs="宋体" w:hint="eastAsia"/>
          <w:b/>
          <w:bCs/>
          <w:color w:val="auto"/>
          <w:highlight w:val="auto"/>
        </w:rPr>
        <w:t>：</w:t>
      </w:r>
      <w:r>
        <w:rPr>
          <w:rFonts w:ascii="宋体" w:eastAsia="宋体" w:cs="宋体" w:hint="eastAsia"/>
          <w:color w:val="auto"/>
          <w:highlight w:val="auto"/>
        </w:rPr>
        <w:t>正式签订合同后</w:t>
      </w:r>
      <w:r>
        <w:rPr>
          <w:rFonts w:ascii="宋体" w:eastAsia="宋体" w:cs="宋体" w:hint="eastAsia"/>
          <w:color w:val="auto"/>
          <w:lang w:val="en-US" w:eastAsia="zh-CN"/>
          <w:highlight w:val="auto"/>
        </w:rPr>
        <w:t>45</w:t>
      </w:r>
      <w:r>
        <w:rPr>
          <w:rFonts w:ascii="宋体" w:eastAsia="宋体" w:cs="宋体" w:hint="eastAsia"/>
          <w:color w:val="auto"/>
          <w:highlight w:val="auto"/>
        </w:rPr>
        <w:t>个日历</w:t>
      </w:r>
      <w:r>
        <w:rPr>
          <w:rFonts w:ascii="宋体" w:cs="宋体" w:hint="eastAsia"/>
          <w:color w:val="auto"/>
          <w:lang w:val="en-US" w:eastAsia="zh-CN"/>
          <w:highlight w:val="auto"/>
        </w:rPr>
        <w:t>天内</w:t>
      </w:r>
      <w:r>
        <w:rPr>
          <w:rFonts w:ascii="宋体" w:eastAsia="宋体" w:cs="宋体" w:hint="eastAsia"/>
          <w:color w:val="auto"/>
          <w:lang w:val="en-US" w:eastAsia="zh-CN"/>
          <w:highlight w:val="auto"/>
        </w:rPr>
        <w:t>完成</w:t>
      </w:r>
      <w:r>
        <w:rPr>
          <w:rFonts w:ascii="宋体" w:eastAsia="宋体" w:cs="宋体" w:hint="eastAsia"/>
          <w:color w:val="auto"/>
          <w:highlight w:val="auto"/>
        </w:rPr>
        <w:t>交货。如出现未能</w:t>
      </w:r>
      <w:r>
        <w:rPr>
          <w:rFonts w:ascii="宋体" w:cs="宋体" w:hint="eastAsia"/>
          <w:color w:val="auto"/>
          <w:lang w:val="en-US" w:eastAsia="zh-CN"/>
          <w:highlight w:val="auto"/>
        </w:rPr>
        <w:t>按时</w:t>
      </w:r>
      <w:r>
        <w:rPr>
          <w:rFonts w:ascii="宋体" w:eastAsia="宋体" w:cs="宋体" w:hint="eastAsia"/>
          <w:color w:val="auto"/>
          <w:highlight w:val="auto"/>
        </w:rPr>
        <w:t>供货的情况，采购方有权单方终止合同的执行，所有的经济损失由逾期供货商单方承担。</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lang w:val="en-US" w:eastAsia="zh-CN"/>
          <w:highlight w:val="auto"/>
        </w:rPr>
      </w:pPr>
      <w:r>
        <w:rPr>
          <w:rFonts w:ascii="宋体" w:cs="宋体" w:hint="eastAsia"/>
          <w:b/>
          <w:bCs/>
          <w:color w:val="auto"/>
          <w:lang w:val="en-US" w:eastAsia="zh-CN"/>
          <w:highlight w:val="auto"/>
        </w:rPr>
        <w:t>2</w:t>
      </w:r>
      <w:r>
        <w:rPr>
          <w:rFonts w:ascii="宋体" w:eastAsia="宋体" w:cs="宋体" w:hint="eastAsia"/>
          <w:b/>
          <w:bCs/>
          <w:color w:val="auto"/>
          <w:highlight w:val="auto"/>
        </w:rPr>
        <w:t>、质保期：</w:t>
      </w:r>
      <w:r>
        <w:rPr>
          <w:rFonts w:ascii="宋体" w:eastAsia="宋体" w:cs="宋体" w:hint="eastAsia"/>
          <w:color w:val="auto"/>
          <w:highlight w:val="auto"/>
        </w:rPr>
        <w:t>验收合格后质保期</w:t>
      </w:r>
      <w:r>
        <w:rPr>
          <w:rFonts w:ascii="宋体" w:cs="宋体" w:hint="eastAsia"/>
          <w:color w:val="auto"/>
          <w:lang w:val="en-US" w:eastAsia="zh-CN"/>
          <w:highlight w:val="auto"/>
        </w:rPr>
        <w:t>2</w:t>
      </w:r>
      <w:r>
        <w:rPr>
          <w:rFonts w:ascii="宋体" w:eastAsia="宋体" w:cs="宋体" w:hint="eastAsia"/>
          <w:color w:val="auto"/>
          <w:highlight w:val="auto"/>
        </w:rPr>
        <w:t>年。在保修期内，所有服务及配件全部免费，保修期外，能够及时地为</w:t>
      </w:r>
      <w:r>
        <w:rPr>
          <w:rFonts w:ascii="宋体" w:cs="宋体" w:hint="eastAsia"/>
          <w:color w:val="auto"/>
          <w:lang w:val="en-US" w:eastAsia="zh-CN"/>
          <w:highlight w:val="auto"/>
        </w:rPr>
        <w:t>采购人</w:t>
      </w:r>
      <w:r>
        <w:rPr>
          <w:rFonts w:ascii="宋体" w:eastAsia="宋体" w:cs="宋体" w:hint="eastAsia"/>
          <w:color w:val="auto"/>
          <w:highlight w:val="auto"/>
        </w:rPr>
        <w:t>提供备品备件。</w:t>
      </w:r>
      <w:r>
        <w:rPr>
          <w:rFonts w:ascii="宋体" w:eastAsia="宋体" w:cs="宋体" w:hint="eastAsia"/>
          <w:color w:val="auto"/>
          <w:lang w:val="en-US" w:eastAsia="zh-CN"/>
          <w:highlight w:val="auto"/>
        </w:rPr>
        <w:t>需要计量的设备，安装一个月内由中标人联系具备资质的机构计量进行计量并出具有效的计量校准报告，计量费用由中标方承担采购人不另行支付。</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b/>
          <w:bCs/>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、质量保证和售后服务承诺：</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lang w:val="en-US" w:eastAsia="zh-CN"/>
          <w:highlight w:val="auto"/>
        </w:rPr>
        <w:t>.1</w:t>
      </w:r>
      <w:r>
        <w:rPr>
          <w:rFonts w:ascii="宋体" w:eastAsia="宋体" w:cs="宋体" w:hint="eastAsia"/>
          <w:b/>
          <w:bCs/>
          <w:color w:val="auto"/>
          <w:highlight w:val="auto"/>
        </w:rPr>
        <w:t>中标供应商应提供质量保证和售后服务承诺书</w:t>
      </w:r>
      <w:r>
        <w:rPr>
          <w:rFonts w:ascii="宋体" w:cs="宋体" w:hint="eastAsia"/>
          <w:b/>
          <w:bCs/>
          <w:color w:val="auto"/>
          <w:lang w:eastAsia="zh-CN"/>
          <w:highlight w:val="auto"/>
        </w:rPr>
        <w:t>：</w:t>
      </w:r>
      <w:r>
        <w:rPr>
          <w:rFonts w:ascii="宋体" w:eastAsia="宋体" w:cs="宋体" w:hint="eastAsia"/>
          <w:color w:val="auto"/>
          <w:highlight w:val="auto"/>
        </w:rPr>
        <w:t>在质量保证期内设备发生故障，中标供应商应免费提供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w:t>
      </w:r>
      <w:r>
        <w:rPr>
          <w:rFonts w:ascii="宋体" w:cs="宋体" w:hint="eastAsia"/>
          <w:color w:val="auto"/>
          <w:lang w:eastAsia="zh-CN"/>
          <w:highlight w:val="auto"/>
        </w:rPr>
        <w:t>采购人</w:t>
      </w:r>
      <w:r>
        <w:rPr>
          <w:rFonts w:ascii="宋体" w:eastAsia="宋体" w:cs="宋体" w:hint="eastAsia"/>
          <w:color w:val="auto"/>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color w:val="auto"/>
          <w:lang w:val="en-US" w:eastAsia="zh-CN"/>
          <w:highlight w:val="auto"/>
        </w:rPr>
        <w:t>3</w:t>
      </w:r>
      <w:r>
        <w:rPr>
          <w:rFonts w:ascii="宋体" w:eastAsia="宋体" w:cs="宋体" w:hint="eastAsia"/>
          <w:color w:val="auto"/>
          <w:highlight w:val="auto"/>
        </w:rPr>
        <w:t>.2、中标供应商负责将设备运至</w:t>
      </w:r>
      <w:r>
        <w:rPr>
          <w:rFonts w:ascii="宋体" w:cs="宋体" w:hint="eastAsia"/>
          <w:color w:val="auto"/>
          <w:lang w:eastAsia="zh-CN"/>
          <w:highlight w:val="auto"/>
        </w:rPr>
        <w:t>采购人</w:t>
      </w:r>
      <w:r>
        <w:rPr>
          <w:rFonts w:ascii="宋体" w:eastAsia="宋体" w:cs="宋体" w:hint="eastAsia"/>
          <w:color w:val="auto"/>
          <w:highlight w:val="auto"/>
        </w:rPr>
        <w:t>指定的地点，免费负责安装，免费现场培训及技术应用培训。中标价应包含产品的</w:t>
      </w:r>
      <w:r>
        <w:rPr>
          <w:rFonts w:ascii="宋体" w:cs="宋体" w:hint="eastAsia"/>
          <w:color w:val="auto"/>
          <w:lang w:eastAsia="zh-CN"/>
          <w:highlight w:val="auto"/>
        </w:rPr>
        <w:t>制造、材料费（主材及辅材）、运输、安装、验收、检测、保修（保修期内的售后服务）、税收、所有手续费等直至验收合格交付采购人使用的所有相关费用</w:t>
      </w:r>
      <w:r>
        <w:rPr>
          <w:rFonts w:ascii="宋体" w:eastAsia="宋体" w:cs="宋体" w:hint="eastAsia"/>
          <w:color w:val="auto"/>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.3、安装、调试：</w:t>
      </w:r>
      <w:r>
        <w:rPr>
          <w:rFonts w:ascii="宋体" w:eastAsia="宋体" w:cs="宋体" w:hint="eastAsia"/>
          <w:color w:val="auto"/>
          <w:highlight w:val="auto"/>
        </w:rPr>
        <w:t>货到后，中标供应商负责派技术人员到现场进行安装、调试，直至验收合格，带“▲”的项目必须符合其性能。</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.4、验收：</w:t>
      </w:r>
      <w:r>
        <w:rPr>
          <w:rFonts w:ascii="宋体" w:eastAsia="宋体" w:cs="宋体" w:hint="eastAsia"/>
          <w:color w:val="auto"/>
          <w:highlight w:val="auto"/>
        </w:rPr>
        <w:t>（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w:t>
      </w:r>
      <w:r>
        <w:rPr>
          <w:rFonts w:ascii="宋体" w:cs="宋体" w:hint="eastAsia"/>
          <w:color w:val="auto"/>
          <w:lang w:eastAsia="zh-CN"/>
          <w:highlight w:val="auto"/>
        </w:rPr>
        <w:t>采购人</w:t>
      </w:r>
      <w:r>
        <w:rPr>
          <w:rFonts w:ascii="宋体" w:eastAsia="宋体" w:cs="宋体" w:hint="eastAsia"/>
          <w:color w:val="auto"/>
          <w:highlight w:val="auto"/>
        </w:rPr>
        <w:t>提供完整的设备技术资料、货物制造商的出厂检验报告、合格证书、产品保证书、认证书、及政府许可证明、说明书等，保证产品和安装材料是新生产、未经过使用的原装原厂正品。如在交付使用前发生设备损坏和不合格，</w:t>
      </w:r>
      <w:r>
        <w:rPr>
          <w:rFonts w:ascii="宋体" w:cs="宋体" w:hint="eastAsia"/>
          <w:color w:val="auto"/>
          <w:lang w:eastAsia="zh-CN"/>
          <w:highlight w:val="auto"/>
        </w:rPr>
        <w:t>采购人</w:t>
      </w:r>
      <w:r>
        <w:rPr>
          <w:rFonts w:ascii="宋体" w:eastAsia="宋体" w:cs="宋体" w:hint="eastAsia"/>
          <w:color w:val="auto"/>
          <w:highlight w:val="auto"/>
        </w:rPr>
        <w:t>有权要求退货，因此造成的一切损失由供应商承担。（4）中标供应商根据合同要求进行系统安装、调试后，由</w:t>
      </w:r>
      <w:r>
        <w:rPr>
          <w:rFonts w:ascii="宋体" w:cs="宋体" w:hint="eastAsia"/>
          <w:color w:val="auto"/>
          <w:lang w:eastAsia="zh-CN"/>
          <w:highlight w:val="auto"/>
        </w:rPr>
        <w:t>采购人</w:t>
      </w:r>
      <w:r>
        <w:rPr>
          <w:rFonts w:ascii="宋体" w:eastAsia="宋体" w:cs="宋体" w:hint="eastAsia"/>
          <w:color w:val="auto"/>
          <w:highlight w:val="auto"/>
        </w:rPr>
        <w:t>进行使用性能方面的验收，确保在使用过程内具有满意的性能。如质量不符合要求，供应商应无条件及时更换并不得以任何原因拖延。（5）</w:t>
      </w:r>
      <w:r>
        <w:rPr>
          <w:rFonts w:ascii="宋体" w:cs="宋体" w:hint="eastAsia"/>
          <w:color w:val="auto"/>
          <w:lang w:eastAsia="zh-CN"/>
          <w:highlight w:val="auto"/>
        </w:rPr>
        <w:t>采购人</w:t>
      </w:r>
      <w:r>
        <w:rPr>
          <w:rFonts w:ascii="宋体" w:eastAsia="宋体" w:cs="宋体" w:hint="eastAsia"/>
          <w:color w:val="auto"/>
          <w:highlight w:val="auto"/>
        </w:rPr>
        <w:t>根据招标文件、中标供应商的</w:t>
      </w:r>
      <w:r>
        <w:rPr>
          <w:rFonts w:ascii="宋体" w:eastAsia="宋体" w:cs="宋体" w:hint="eastAsia"/>
          <w:color w:val="auto"/>
          <w:lang w:val="en-US" w:eastAsia="zh-CN"/>
          <w:highlight w:val="auto"/>
        </w:rPr>
        <w:t>投</w:t>
      </w:r>
      <w:r>
        <w:rPr>
          <w:rFonts w:ascii="宋体" w:eastAsia="宋体" w:cs="宋体" w:hint="eastAsia"/>
          <w:color w:val="auto"/>
          <w:highlight w:val="auto"/>
        </w:rPr>
        <w:t>标文件、合同、制造厂商的产品验收标准及中华人民共和国有关标准进行验收。</w:t>
      </w:r>
      <w:r>
        <w:rPr>
          <w:rFonts w:ascii="宋体" w:cs="宋体" w:hint="eastAsia"/>
          <w:color w:val="auto"/>
          <w:lang w:eastAsia="zh-CN"/>
          <w:highlight w:val="auto"/>
        </w:rPr>
        <w:t>采购人</w:t>
      </w:r>
      <w:r>
        <w:rPr>
          <w:rFonts w:ascii="宋体" w:eastAsia="宋体" w:cs="宋体" w:hint="eastAsia"/>
          <w:color w:val="auto"/>
          <w:highlight w:val="auto"/>
        </w:rPr>
        <w:t>有权委托中国具权威资质机构对设备的灵敏度、测量精度等技术性能进行验收。因中标供应商所提供的产品未达到</w:t>
      </w:r>
      <w:r>
        <w:rPr>
          <w:rFonts w:ascii="宋体" w:cs="宋体" w:hint="eastAsia"/>
          <w:b/>
          <w:bCs/>
          <w:color w:val="auto"/>
          <w:spacing w:val="-6"/>
          <w:szCs w:val="21"/>
          <w:lang w:val="en-US" w:eastAsia="zh-CN"/>
          <w:highlight w:val="auto"/>
        </w:rPr>
        <w:t>投标文件偏离表中响应情况不一致时</w:t>
      </w:r>
      <w:r>
        <w:rPr>
          <w:rFonts w:ascii="宋体" w:eastAsia="宋体" w:cs="宋体" w:hint="eastAsia"/>
          <w:color w:val="auto"/>
          <w:highlight w:val="auto"/>
        </w:rPr>
        <w:t>，</w:t>
      </w:r>
      <w:r>
        <w:rPr>
          <w:rFonts w:ascii="宋体" w:cs="宋体" w:hint="eastAsia"/>
          <w:b/>
          <w:bCs/>
          <w:color w:val="auto"/>
          <w:spacing w:val="-6"/>
          <w:szCs w:val="21"/>
          <w:lang w:val="en-US" w:eastAsia="zh-CN"/>
          <w:highlight w:val="auto"/>
        </w:rPr>
        <w:t>采购人有权上报上级主管部门，</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eastAsia="宋体" w:cs="宋体" w:hint="eastAsia"/>
          <w:b/>
          <w:bCs/>
          <w:color w:val="auto"/>
          <w:highlight w:val="auto"/>
        </w:rPr>
        <w:t>，不予付款</w:t>
      </w:r>
      <w:r>
        <w:rPr>
          <w:rFonts w:ascii="宋体" w:cs="宋体" w:hint="eastAsia"/>
          <w:b/>
          <w:bCs/>
          <w:color w:val="auto"/>
          <w:spacing w:val="-6"/>
          <w:szCs w:val="21"/>
          <w:highlight w:val="auto"/>
        </w:rPr>
        <w:t>。</w:t>
      </w:r>
      <w:r>
        <w:rPr>
          <w:rFonts w:ascii="宋体" w:cs="宋体" w:hint="eastAsia"/>
          <w:color w:val="auto"/>
          <w:lang w:eastAsia="zh-CN"/>
          <w:highlight w:val="auto"/>
        </w:rPr>
        <w:t>采购人</w:t>
      </w:r>
      <w:r>
        <w:rPr>
          <w:rFonts w:ascii="宋体" w:eastAsia="宋体" w:cs="宋体" w:hint="eastAsia"/>
          <w:color w:val="auto"/>
          <w:highlight w:val="auto"/>
        </w:rPr>
        <w:t>有权因此终止合同的执行，中标商将自行承担所有经济损失；同时，</w:t>
      </w:r>
      <w:r>
        <w:rPr>
          <w:rFonts w:ascii="宋体" w:cs="宋体" w:hint="eastAsia"/>
          <w:color w:val="auto"/>
          <w:lang w:eastAsia="zh-CN"/>
          <w:highlight w:val="auto"/>
        </w:rPr>
        <w:t>采购人</w:t>
      </w:r>
      <w:r>
        <w:rPr>
          <w:rFonts w:ascii="宋体" w:eastAsia="宋体" w:cs="宋体" w:hint="eastAsia"/>
          <w:color w:val="auto"/>
          <w:highlight w:val="auto"/>
        </w:rPr>
        <w:t>将保留向中标供应商因设备延迟到位而造成对口岸检验业务的不良影响追索相应“违约”责任的权利。</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.5、响应故障处理：</w:t>
      </w:r>
      <w:r>
        <w:rPr>
          <w:rFonts w:ascii="宋体" w:eastAsia="宋体" w:cs="宋体" w:hint="eastAsia"/>
          <w:color w:val="auto"/>
          <w:highlight w:val="auto"/>
        </w:rPr>
        <w:t>中标供应商能响应故障处理请求和电话咨询，提供7x24小时技术支持，4小时内响应和24小时内提出解决方案，一般应在48小时内派人到现场维修的售后服务。中标供应商应提供维保人员名单、联系电话等。</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auto"/>
          <w:highlight w:val="auto"/>
        </w:rPr>
      </w:pPr>
      <w:r>
        <w:rPr>
          <w:rFonts w:ascii="宋体" w:cs="宋体" w:hint="eastAsia"/>
          <w:b/>
          <w:bCs/>
          <w:color w:val="auto"/>
          <w:lang w:val="en-US" w:eastAsia="zh-CN"/>
          <w:highlight w:val="auto"/>
        </w:rPr>
        <w:t>3</w:t>
      </w:r>
      <w:r>
        <w:rPr>
          <w:rFonts w:ascii="宋体" w:eastAsia="宋体" w:cs="宋体" w:hint="eastAsia"/>
          <w:b/>
          <w:bCs/>
          <w:color w:val="auto"/>
          <w:highlight w:val="auto"/>
        </w:rPr>
        <w:t>.6、现场培训：</w:t>
      </w:r>
      <w:r>
        <w:rPr>
          <w:rFonts w:ascii="宋体" w:eastAsia="宋体" w:cs="宋体" w:hint="eastAsia"/>
          <w:color w:val="auto"/>
          <w:highlight w:val="auto"/>
        </w:rPr>
        <w:t>制造商应以2人次培训班及现场培训形式对操作人员进行仪器基本操作和维护知识进行免费的培训，保证相关人员能独立上机进行基本操作和数据处理。如有</w:t>
      </w:r>
      <w:r>
        <w:rPr>
          <w:rFonts w:ascii="宋体" w:cs="宋体" w:hint="eastAsia"/>
          <w:color w:val="auto"/>
          <w:lang w:val="en-US" w:eastAsia="zh-CN"/>
          <w:highlight w:val="auto"/>
        </w:rPr>
        <w:t>采购人</w:t>
      </w:r>
      <w:r>
        <w:rPr>
          <w:rFonts w:ascii="宋体" w:eastAsia="宋体" w:cs="宋体" w:hint="eastAsia"/>
          <w:color w:val="auto"/>
          <w:highlight w:val="auto"/>
        </w:rPr>
        <w:t>有因人员流动，需要进行培训，制造商应对</w:t>
      </w:r>
      <w:r>
        <w:rPr>
          <w:rFonts w:ascii="宋体" w:cs="宋体" w:hint="eastAsia"/>
          <w:color w:val="auto"/>
          <w:lang w:val="en-US" w:eastAsia="zh-CN"/>
          <w:highlight w:val="auto"/>
        </w:rPr>
        <w:t>采购人</w:t>
      </w:r>
      <w:r>
        <w:rPr>
          <w:rFonts w:ascii="宋体" w:eastAsia="宋体" w:cs="宋体" w:hint="eastAsia"/>
          <w:color w:val="auto"/>
          <w:highlight w:val="auto"/>
        </w:rPr>
        <w:t>新增实验人员进行免费现场培训。</w:t>
      </w:r>
    </w:p>
    <w:p>
      <w:pPr>
        <w:pStyle w:val="21"/>
        <w:rPr>
          <w:rFonts w:ascii="宋体" w:eastAsia="宋体" w:cs="宋体" w:hint="eastAsia"/>
          <w:color w:val="auto"/>
          <w:kern w:val="2"/>
          <w:sz w:val="21"/>
          <w:szCs w:val="24"/>
          <w:lang w:val="en-US" w:eastAsia="zh-CN" w:bidi="ar-SA"/>
          <w:highlight w:val="auto"/>
        </w:rPr>
      </w:pPr>
      <w:r>
        <w:rPr>
          <w:rFonts w:ascii="宋体" w:eastAsia="宋体" w:cs="宋体" w:hint="eastAsia"/>
          <w:b/>
          <w:bCs/>
          <w:color w:val="auto"/>
          <w:kern w:val="2"/>
          <w:sz w:val="21"/>
          <w:szCs w:val="24"/>
          <w:lang w:val="en-US" w:eastAsia="zh-CN" w:bidi="ar-SA"/>
          <w:highlight w:val="auto"/>
        </w:rPr>
        <w:t>4、交货地点：</w:t>
      </w:r>
      <w:r>
        <w:rPr>
          <w:rFonts w:ascii="宋体" w:eastAsia="宋体" w:cs="宋体" w:hint="eastAsia"/>
          <w:color w:val="auto"/>
          <w:kern w:val="2"/>
          <w:sz w:val="21"/>
          <w:szCs w:val="24"/>
          <w:lang w:val="en-US" w:eastAsia="zh-CN" w:bidi="ar-SA"/>
          <w:highlight w:val="auto"/>
        </w:rPr>
        <w:t>采购人指定地点。</w:t>
      </w:r>
    </w:p>
    <w:p>
      <w:pPr>
        <w:pStyle w:val="22"/>
        <w:rPr>
          <w:rFonts w:ascii="宋体" w:eastAsia="宋体" w:cs="宋体" w:hint="eastAsia"/>
          <w:b/>
          <w:bCs/>
          <w:color w:val="auto"/>
          <w:kern w:val="2"/>
          <w:sz w:val="21"/>
          <w:szCs w:val="24"/>
          <w:lang w:val="en-US" w:eastAsia="zh-CN" w:bidi="ar-SA"/>
          <w:highlight w:val="auto"/>
        </w:rPr>
      </w:pPr>
      <w:r>
        <w:rPr>
          <w:rFonts w:ascii="宋体" w:eastAsia="宋体" w:cs="宋体" w:hint="eastAsia"/>
          <w:b/>
          <w:bCs/>
          <w:color w:val="auto"/>
          <w:kern w:val="2"/>
          <w:sz w:val="21"/>
          <w:szCs w:val="24"/>
          <w:lang w:val="en-US" w:eastAsia="zh-CN" w:bidi="ar-SA"/>
          <w:highlight w:val="auto"/>
        </w:rPr>
        <w:t>5、付款条件：</w:t>
      </w:r>
    </w:p>
    <w:p>
      <w:pPr>
        <w:pStyle w:val="22"/>
        <w:rPr>
          <w:rFonts w:ascii="宋体" w:eastAsia="宋体" w:cs="宋体" w:hint="eastAsia"/>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采购人向中标人的付款计划安排如下</w:t>
      </w:r>
    </w:p>
    <w:p>
      <w:pPr>
        <w:pStyle w:val="22"/>
        <w:rPr>
          <w:rFonts w:ascii="宋体" w:eastAsia="宋体" w:cs="宋体" w:hint="eastAsia"/>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(1)第一期款：合同生效15日内且收到供应商相关发票后，支付合同金额的40%；</w:t>
      </w:r>
    </w:p>
    <w:p>
      <w:pPr>
        <w:pStyle w:val="22"/>
        <w:rPr>
          <w:rFonts w:ascii="宋体" w:eastAsia="宋体" w:cs="宋体"/>
          <w:color w:val="auto"/>
          <w:kern w:val="2"/>
          <w:sz w:val="21"/>
          <w:szCs w:val="24"/>
          <w:lang w:val="en-US" w:eastAsia="zh-CN" w:bidi="ar-SA"/>
          <w:highlight w:val="auto"/>
        </w:rPr>
      </w:pPr>
      <w:r>
        <w:rPr>
          <w:rFonts w:ascii="宋体" w:eastAsia="宋体" w:cs="宋体" w:hint="eastAsia"/>
          <w:color w:val="auto"/>
          <w:kern w:val="2"/>
          <w:sz w:val="21"/>
          <w:szCs w:val="24"/>
          <w:lang w:val="en-US" w:eastAsia="zh-CN" w:bidi="ar-SA"/>
          <w:highlight w:val="auto"/>
        </w:rPr>
        <w:t>(2)第二期款：设备到货并安装调试、且验收合格后，支付合同金额的60 %；</w:t>
      </w:r>
    </w:p>
    <w:p>
      <w:pPr>
        <w:spacing w:line="360" w:lineRule="auto"/>
        <w:rPr>
          <w:rFonts w:ascii="宋体" w:cs="宋体"/>
          <w:b/>
          <w:bCs/>
          <w:color w:val="auto"/>
          <w:szCs w:val="21"/>
          <w:highlight w:val="auto"/>
        </w:rPr>
      </w:pPr>
    </w:p>
    <w:p>
      <w:pPr>
        <w:spacing w:line="288" w:lineRule="auto"/>
        <w:jc w:val="left"/>
        <w:rPr>
          <w:rFonts w:ascii="宋体"/>
          <w:b/>
          <w:color w:val="auto"/>
          <w:szCs w:val="21"/>
          <w:highlight w:val="auto"/>
        </w:rPr>
        <w:sectPr>
          <w:headerReference w:type="default" r:id="rId6"/>
          <w:footerReference w:type="default" r:id="rId7"/>
          <w:pgSz w:w="11906" w:h="16838"/>
          <w:pgMar w:top="1588" w:right="1701" w:bottom="1588" w:left="1701" w:header="851" w:footer="992" w:gutter="0"/>
          <w:docGrid w:type="linesAndChars" w:linePitch="380" w:charSpace="0"/>
        </w:sectPr>
      </w:pPr>
      <w:r>
        <w:rPr>
          <w:rFonts w:ascii="宋体" w:cs="宋体" w:hint="eastAsia"/>
          <w:b/>
          <w:color w:val="auto"/>
          <w:szCs w:val="21"/>
          <w:lang w:val="en-US" w:eastAsia="zh-CN"/>
          <w:highlight w:val="auto"/>
        </w:rPr>
        <w:t>注：</w:t>
      </w:r>
      <w:r>
        <w:rPr>
          <w:rFonts w:ascii="宋体" w:cs="宋体" w:hint="eastAsia"/>
          <w:b/>
          <w:color w:val="auto"/>
          <w:szCs w:val="21"/>
          <w:highlight w:val="auto"/>
        </w:rPr>
        <w:t>除招标文件中所明确的技术参数外，欢迎其他能满足本项目技术需求且性能相当于或高于所明确品牌的产品参加响应，同时在需求偏离表中作出详细对比说明。</w:t>
      </w:r>
    </w:p>
    <w:p>
      <w:pPr>
        <w:adjustRightInd w:val="0"/>
        <w:snapToGrid w:val="0"/>
        <w:spacing w:beforeLines="50" w:before="190" w:afterLines="50" w:after="190" w:line="360" w:lineRule="auto"/>
        <w:jc w:val="center"/>
        <w:outlineLvl w:val="0"/>
        <w:rPr>
          <w:rFonts w:ascii="宋体"/>
          <w:color w:val="auto"/>
          <w:sz w:val="28"/>
          <w:szCs w:val="28"/>
          <w:highlight w:val="auto"/>
        </w:rPr>
      </w:pPr>
      <w:bookmarkStart w:id="69" w:name="_Toc21552"/>
      <w:r>
        <w:rPr>
          <w:rFonts w:ascii="宋体" w:hint="eastAsia"/>
          <w:b/>
          <w:color w:val="auto"/>
          <w:sz w:val="32"/>
          <w:szCs w:val="32"/>
          <w:highlight w:val="auto"/>
        </w:rPr>
        <w:t>第五章</w:t>
      </w:r>
      <w:r>
        <w:rPr>
          <w:rFonts w:ascii="宋体"/>
          <w:b/>
          <w:color w:val="auto"/>
          <w:sz w:val="32"/>
          <w:szCs w:val="32"/>
          <w:highlight w:val="auto"/>
        </w:rPr>
        <w:t xml:space="preserve">  </w:t>
      </w:r>
      <w:r>
        <w:rPr>
          <w:rFonts w:ascii="宋体" w:hint="eastAsia"/>
          <w:b/>
          <w:color w:val="auto"/>
          <w:sz w:val="32"/>
          <w:szCs w:val="32"/>
          <w:highlight w:val="auto"/>
        </w:rPr>
        <w:t>评标办法</w:t>
      </w:r>
      <w:bookmarkEnd w:id="66"/>
      <w:bookmarkEnd w:id="67"/>
      <w:bookmarkEnd w:id="68"/>
      <w:bookmarkEnd w:id="69"/>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70" w:name="_Toc60757533"/>
      <w:bookmarkStart w:id="71" w:name="_Toc295465366"/>
      <w:bookmarkStart w:id="72" w:name="_Toc249760791"/>
      <w:bookmarkStart w:id="73" w:name="_Toc367274988"/>
      <w:bookmarkStart w:id="74" w:name="_Toc251566662"/>
      <w:bookmarkStart w:id="75" w:name="_Toc468296138"/>
      <w:bookmarkStart w:id="76" w:name="_Toc8998"/>
      <w:bookmarkStart w:id="77" w:name="_Toc227057965"/>
      <w:bookmarkStart w:id="78" w:name="_Toc107822557"/>
      <w:bookmarkStart w:id="79" w:name="_Toc226969359"/>
      <w:r>
        <w:rPr>
          <w:rFonts w:ascii="宋体" w:eastAsia="宋体" w:cs="宋体" w:hint="eastAsia"/>
          <w:snapToGrid w:val="0"/>
          <w:color w:val="auto"/>
          <w:sz w:val="21"/>
          <w:szCs w:val="21"/>
          <w:highlight w:val="auto"/>
        </w:rPr>
        <w:t>一、总则</w:t>
      </w:r>
      <w:bookmarkEnd w:id="70"/>
      <w:bookmarkEnd w:id="71"/>
      <w:bookmarkEnd w:id="72"/>
      <w:bookmarkEnd w:id="73"/>
      <w:bookmarkEnd w:id="74"/>
      <w:bookmarkEnd w:id="75"/>
      <w:bookmarkEnd w:id="76"/>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供应商接触。</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80" w:name="_Toc367274989"/>
      <w:bookmarkStart w:id="81" w:name="_Toc60757534"/>
      <w:bookmarkStart w:id="82" w:name="_Toc6463"/>
      <w:bookmarkStart w:id="83" w:name="_Toc251566663"/>
      <w:bookmarkStart w:id="84" w:name="_Toc295465367"/>
      <w:bookmarkStart w:id="85" w:name="_Toc468296139"/>
      <w:bookmarkStart w:id="86" w:name="_Toc249760792"/>
      <w:r>
        <w:rPr>
          <w:rFonts w:ascii="宋体" w:eastAsia="宋体" w:cs="宋体" w:hint="eastAsia"/>
          <w:snapToGrid w:val="0"/>
          <w:color w:val="auto"/>
          <w:sz w:val="21"/>
          <w:szCs w:val="21"/>
          <w:highlight w:val="auto"/>
        </w:rPr>
        <w:t>二、评标组织</w:t>
      </w:r>
      <w:bookmarkEnd w:id="80"/>
      <w:bookmarkEnd w:id="81"/>
      <w:bookmarkEnd w:id="82"/>
      <w:bookmarkEnd w:id="83"/>
      <w:bookmarkEnd w:id="84"/>
      <w:bookmarkEnd w:id="85"/>
      <w:bookmarkEnd w:id="86"/>
    </w:p>
    <w:p>
      <w:pPr>
        <w:adjustRightInd w:val="0"/>
        <w:snapToGrid w:val="0"/>
        <w:spacing w:line="360" w:lineRule="auto"/>
        <w:ind w:firstLineChars="200" w:firstLine="420"/>
        <w:jc w:val="left"/>
        <w:rPr>
          <w:rFonts w:ascii="宋体" w:cs="宋体"/>
          <w:snapToGrid w:val="0"/>
          <w:color w:val="auto"/>
          <w:kern w:val="0"/>
          <w:szCs w:val="21"/>
          <w:highlight w:val="auto"/>
        </w:rPr>
      </w:pPr>
      <w:bookmarkStart w:id="87" w:name="_Toc251566664"/>
      <w:bookmarkStart w:id="88" w:name="_Toc249760793"/>
      <w:r>
        <w:rPr>
          <w:rFonts w:ascii="宋体" w:cs="宋体" w:hint="eastAsia"/>
          <w:snapToGrid w:val="0"/>
          <w:color w:val="auto"/>
          <w:kern w:val="0"/>
          <w:szCs w:val="21"/>
          <w:highlight w:val="auto"/>
        </w:rPr>
        <w:t>评标工作由招标采购单位负责组织，依法组建由奇数的人员组成的评标委员会，负责对投标文件进行审查、质询、评审等。评标委员会由政府采购相关专家等组成，其中政府采购专家不得少于成员总数的三分之二。</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89" w:name="_Toc295465368"/>
      <w:bookmarkStart w:id="90" w:name="_Toc60757535"/>
      <w:bookmarkStart w:id="91" w:name="_Toc468296140"/>
      <w:bookmarkStart w:id="92" w:name="_Toc11508"/>
      <w:bookmarkStart w:id="93" w:name="_Toc367274990"/>
      <w:r>
        <w:rPr>
          <w:rFonts w:ascii="宋体" w:eastAsia="宋体" w:cs="宋体" w:hint="eastAsia"/>
          <w:snapToGrid w:val="0"/>
          <w:color w:val="auto"/>
          <w:sz w:val="21"/>
          <w:szCs w:val="21"/>
          <w:highlight w:val="auto"/>
        </w:rPr>
        <w:t>三、评标纪律</w:t>
      </w:r>
      <w:bookmarkEnd w:id="87"/>
      <w:bookmarkEnd w:id="88"/>
      <w:bookmarkEnd w:id="89"/>
      <w:bookmarkEnd w:id="90"/>
      <w:bookmarkEnd w:id="91"/>
      <w:bookmarkEnd w:id="92"/>
      <w:bookmarkEnd w:id="93"/>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1．评标是招标工作的重要环节，评标工作在评标委员会内独立进行。评标委员会将按照评标原则的要求，公正、平等地对待所有供应商。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2．所有评标人员应忠于职守、廉洁自律、秉公办事、不徇私情。</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3．评标人员不得接受或参加供应商或与投标有关的单位、组织或个人的有碍公务的宴请、娱乐活动等，不得以任何形式弄虚作假。</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4．评标期间，评标人员不得随意出入评标地点、与外界通讯、会客等。</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5．在投标文件的审查、澄清、评价和比较以及授予合同的过程中，供应商对采购人、采购机构人员及评标委员会成员施加影响的任何行为，都将导致被取消投标资格。</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6．为保证评标的公正性，在评标过程中，评标委员会成员不得与供应商或与中标结果有利害关系的人进行私下接触。在评标工作结束后，凡与评标情况有接触的任何人，不得将评标情况扩散出评标委员会以外。</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7．评标过程中，当发表结论性意见时，先听取专家评委意见，用户评委随后发表意见；评标专家对供应商的优劣情况，以及认为差异较大的情况等，应以书面意见作出真实、专业、诚恳负责的表述，不得违背客观、公正的原则。</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8．评标结束后，各评标人员应将全部资料整理上交采购人，严禁将评标过程中的任何资料带出评标现场向供应商或其他单位提供。</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9．在中标结果公布前应对评标委员会成员名单予以保密。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10．评标委员会对各供应商的商业秘密予以保密。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11．评标委员会成员应当客观、公正地履行职责，遵守职业道德，对所提出的评审意见承担个人责任。</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12．在整个评标过程中，供应商企图影响招标结果的任何活动，可能导致其投标失败。如有违法行为，将依法追究其法律责任。</w:t>
      </w:r>
    </w:p>
    <w:p>
      <w:pPr>
        <w:pStyle w:val="2"/>
        <w:numPr>
          <w:ilvl w:val="0"/>
          <w:numId w:val="0"/>
        </w:numPr>
        <w:tabs>
          <w:tab w:val="clear" w:pos="425"/>
        </w:tabs>
        <w:snapToGrid w:val="0"/>
        <w:spacing w:before="0" w:after="0" w:line="360" w:lineRule="auto"/>
        <w:rPr>
          <w:rFonts w:ascii="宋体" w:eastAsia="宋体" w:cs="宋体"/>
          <w:b w:val="0"/>
          <w:snapToGrid w:val="0"/>
          <w:color w:val="auto"/>
          <w:sz w:val="21"/>
          <w:szCs w:val="21"/>
          <w:highlight w:val="auto"/>
        </w:rPr>
      </w:pPr>
      <w:bookmarkStart w:id="94" w:name="_Toc60757536"/>
      <w:bookmarkStart w:id="95" w:name="_Toc468296141"/>
      <w:bookmarkStart w:id="96" w:name="_Toc295465369"/>
      <w:bookmarkStart w:id="97" w:name="_Toc29447"/>
      <w:bookmarkStart w:id="98" w:name="_Toc367274991"/>
      <w:bookmarkStart w:id="99" w:name="_Toc251566665"/>
      <w:bookmarkStart w:id="100" w:name="_Toc249760794"/>
      <w:r>
        <w:rPr>
          <w:rFonts w:ascii="宋体" w:eastAsia="宋体" w:cs="宋体" w:hint="eastAsia"/>
          <w:snapToGrid w:val="0"/>
          <w:color w:val="auto"/>
          <w:sz w:val="21"/>
          <w:szCs w:val="21"/>
          <w:highlight w:val="auto"/>
        </w:rPr>
        <w:t>四、评标程序</w:t>
      </w:r>
      <w:bookmarkEnd w:id="94"/>
      <w:bookmarkEnd w:id="95"/>
      <w:bookmarkEnd w:id="96"/>
      <w:bookmarkEnd w:id="97"/>
      <w:bookmarkEnd w:id="98"/>
      <w:bookmarkEnd w:id="99"/>
      <w:bookmarkEnd w:id="100"/>
    </w:p>
    <w:p>
      <w:pPr>
        <w:adjustRightInd w:val="0"/>
        <w:snapToGrid w:val="0"/>
        <w:spacing w:line="360" w:lineRule="auto"/>
        <w:ind w:firstLineChars="200" w:firstLine="420"/>
        <w:rPr>
          <w:rFonts w:ascii="宋体" w:cs="宋体"/>
          <w:snapToGrid w:val="0"/>
          <w:color w:val="auto"/>
          <w:kern w:val="0"/>
          <w:szCs w:val="21"/>
          <w:highlight w:val="auto"/>
        </w:rPr>
      </w:pPr>
      <w:bookmarkEnd w:id="77"/>
      <w:bookmarkEnd w:id="78"/>
      <w:bookmarkEnd w:id="79"/>
      <w:r>
        <w:rPr>
          <w:rFonts w:ascii="宋体" w:cs="宋体" w:hint="eastAsia"/>
          <w:snapToGrid w:val="0"/>
          <w:color w:val="auto"/>
          <w:kern w:val="0"/>
          <w:szCs w:val="21"/>
          <w:highlight w:val="auto"/>
        </w:rPr>
        <w:t>1．本项目采用不公开方式评标，评标的依据为采购文件和投标文件。</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2．熟悉采购文件和评标办法。</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3．投标文件的初审。初审分为资格性检查和符合性检查。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（1）资格性检查。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依据法律法规和采购文件的规定，对投标文件中的资格条件等进行审查，以确定供应商是否具备投标资格。</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（2）符合性检查。</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如果投标文件实质上没有响应采购文件的要求，评委会将予以拒绝，供应商不得通过修改或撤销不合要求的偏离或保留而使其投标成为实质性响应的投标。</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评委会将允许修正投标文件中不构成重大偏离的、微小的、非正规的、不一致的或不规则的地方，但这些修改不能影响任何供应商相应的名次排列。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4．澄清有关问题。</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评标期间，为有助于对投标文件的审查、评价和比较，评委会有权要求供应商对其投标文件进行澄清，但并非对每个供应商都做澄清要求。接到评委会澄清要求的供应商应派人安评委会通知的时间和地点作出书面澄清，书面澄清的内容必须由供应商法定代表人或授权代表签署，并作为投标文件的补充部分，但投标价格和实质性的内容不得做任何更改。</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供应商接到评委会或评标委员会授权的评标工作人员的澄清要求或通知的电话后,请尽快赶到通知的指定地点接受澄清</w:t>
      </w:r>
      <w:r>
        <w:rPr>
          <w:rFonts w:ascii="宋体" w:cs="宋体" w:hint="eastAsia"/>
          <w:snapToGrid w:val="0"/>
          <w:color w:val="auto"/>
          <w:kern w:val="0"/>
          <w:szCs w:val="21"/>
          <w:lang w:val="en-US" w:eastAsia="zh-CN"/>
          <w:highlight w:val="auto"/>
        </w:rPr>
        <w:t>或通过邮件形式进行澄清</w:t>
      </w:r>
      <w:r>
        <w:rPr>
          <w:rFonts w:ascii="宋体" w:cs="宋体" w:hint="eastAsia"/>
          <w:snapToGrid w:val="0"/>
          <w:color w:val="auto"/>
          <w:kern w:val="0"/>
          <w:szCs w:val="21"/>
          <w:highlight w:val="auto"/>
        </w:rPr>
        <w:t>,如未能在30分钟之内达到指定地点的</w:t>
      </w:r>
      <w:r>
        <w:rPr>
          <w:rFonts w:ascii="宋体" w:cs="宋体" w:hint="eastAsia"/>
          <w:snapToGrid w:val="0"/>
          <w:color w:val="auto"/>
          <w:kern w:val="0"/>
          <w:szCs w:val="21"/>
          <w:lang w:val="en-US" w:eastAsia="zh-CN"/>
          <w:highlight w:val="auto"/>
        </w:rPr>
        <w:t>或邮件澄清的（澄清内容需由法定代表人或其授权代表签字）</w:t>
      </w:r>
      <w:r>
        <w:rPr>
          <w:rFonts w:ascii="宋体" w:cs="宋体" w:hint="eastAsia"/>
          <w:snapToGrid w:val="0"/>
          <w:color w:val="auto"/>
          <w:kern w:val="0"/>
          <w:szCs w:val="21"/>
          <w:highlight w:val="auto"/>
        </w:rPr>
        <w:t>，视同该供应商自动放弃对投标文件的澄清,评标委员会对此所作的评标结果,其风险由供应商自行承担。</w:t>
      </w:r>
    </w:p>
    <w:p>
      <w:pPr>
        <w:adjustRightInd w:val="0"/>
        <w:snapToGrid w:val="0"/>
        <w:spacing w:line="360" w:lineRule="auto"/>
        <w:ind w:firstLineChars="200" w:firstLine="420"/>
        <w:rPr>
          <w:rFonts w:ascii="宋体" w:cs="宋体" w:hint="eastAsia"/>
          <w:snapToGrid w:val="0"/>
          <w:color w:val="auto"/>
          <w:kern w:val="0"/>
          <w:szCs w:val="21"/>
          <w:highlight w:val="auto"/>
        </w:rPr>
      </w:pPr>
      <w:r>
        <w:rPr>
          <w:rFonts w:ascii="宋体" w:cs="宋体" w:hint="eastAsia"/>
          <w:snapToGrid w:val="0"/>
          <w:color w:val="auto"/>
          <w:kern w:val="0"/>
          <w:szCs w:val="21"/>
          <w:highlight w:val="auto"/>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adjustRightInd w:val="0"/>
        <w:snapToGrid w:val="0"/>
        <w:spacing w:line="360" w:lineRule="auto"/>
        <w:ind w:firstLineChars="200" w:firstLine="420"/>
        <w:rPr>
          <w:rFonts w:ascii="宋体" w:cs="宋体" w:hint="eastAsia"/>
          <w:snapToGrid w:val="0"/>
          <w:color w:val="auto"/>
          <w:kern w:val="0"/>
          <w:szCs w:val="21"/>
          <w:highlight w:val="auto"/>
        </w:rPr>
      </w:pPr>
      <w:r>
        <w:rPr>
          <w:rFonts w:ascii="宋体" w:cs="宋体" w:hint="eastAsia"/>
          <w:snapToGrid w:val="0"/>
          <w:color w:val="auto"/>
          <w:kern w:val="0"/>
          <w:szCs w:val="21"/>
          <w:lang w:val="en-US" w:eastAsia="zh-CN"/>
          <w:highlight w:val="auto"/>
        </w:rPr>
        <w:t>评标委员会认为</w:t>
      </w:r>
      <w:r>
        <w:rPr>
          <w:rFonts w:ascii="宋体" w:cs="宋体" w:hint="eastAsia"/>
          <w:snapToGrid w:val="0"/>
          <w:color w:val="auto"/>
          <w:kern w:val="0"/>
          <w:szCs w:val="21"/>
          <w:highlight w:val="auto"/>
        </w:rPr>
        <w:t>投标人的报价明显低于其他通过符合性审查投标人的报价，有可能影响产品质量或者不能诚信履约的，应当要求其在评标合理的时间内提供书面说明</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lang w:val="en-US" w:eastAsia="zh-CN"/>
          <w:highlight w:val="auto"/>
        </w:rPr>
        <w:t>不少于30分钟</w:t>
      </w:r>
      <w:r>
        <w:rPr>
          <w:rFonts w:ascii="宋体" w:cs="宋体" w:hint="eastAsia"/>
          <w:snapToGrid w:val="0"/>
          <w:color w:val="auto"/>
          <w:kern w:val="0"/>
          <w:szCs w:val="21"/>
          <w:lang w:eastAsia="zh-CN"/>
          <w:highlight w:val="auto"/>
        </w:rPr>
        <w:t>）</w:t>
      </w:r>
      <w:r>
        <w:rPr>
          <w:rFonts w:ascii="宋体" w:cs="宋体" w:hint="eastAsia"/>
          <w:snapToGrid w:val="0"/>
          <w:color w:val="auto"/>
          <w:kern w:val="0"/>
          <w:szCs w:val="21"/>
          <w:highlight w:val="auto"/>
        </w:rPr>
        <w:t>，必要时提交相关证明材料;投标人不能证明其报价合理性的，谈判小组应当将其作为无效投标处理。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5．比较与评价。按采购文件中规定的评标方法和标准，对初审检查合格的投标文件进行商务和技术评估，综合比较与评价，并按照评标细则进行打分。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6．推荐中标候选人。评标委员会根据评审后的得分由高至低顺序排列，推荐</w:t>
      </w:r>
      <w:r>
        <w:rPr>
          <w:rFonts w:ascii="宋体" w:cs="宋体" w:hint="eastAsia"/>
          <w:snapToGrid w:val="0"/>
          <w:color w:val="auto"/>
          <w:kern w:val="0"/>
          <w:szCs w:val="21"/>
          <w:lang w:val="en-US" w:eastAsia="zh-CN"/>
          <w:highlight w:val="auto"/>
        </w:rPr>
        <w:t>综合排名第一的</w:t>
      </w:r>
      <w:r>
        <w:rPr>
          <w:rFonts w:ascii="宋体" w:cs="宋体" w:hint="eastAsia"/>
          <w:snapToGrid w:val="0"/>
          <w:color w:val="auto"/>
          <w:kern w:val="0"/>
          <w:szCs w:val="21"/>
          <w:highlight w:val="auto"/>
        </w:rPr>
        <w:t>为中标候选人。得分相同的，按投标报价由低到高顺序排列，得分且投标报价相同的，按技术指标优劣顺序排列。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7．完成评标报告。评标报告是评标委员会根据全体评标成员签字的原始评标记录和评标结果编写的报告，其主要内容包括：</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（1）采购公告刊登的媒体名称、开标日期和地点；</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（2）购买采购文件的供应商名单和评标委员会成员名单；</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（3）评标方法和标准；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（4）开标记录和评标情况及说明，包括投标无效供应商名单及原因；</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（5）评标结果和中标候选人排序；</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（6）评标委员会的授标建议。</w:t>
      </w:r>
    </w:p>
    <w:p>
      <w:pPr>
        <w:pStyle w:val="2"/>
        <w:numPr>
          <w:ilvl w:val="0"/>
          <w:numId w:val="0"/>
        </w:numPr>
        <w:tabs>
          <w:tab w:val="clear" w:pos="425"/>
        </w:tabs>
        <w:snapToGrid w:val="0"/>
        <w:spacing w:before="0" w:after="0" w:line="360" w:lineRule="auto"/>
        <w:rPr>
          <w:rFonts w:ascii="宋体" w:eastAsia="宋体" w:cs="宋体"/>
          <w:snapToGrid w:val="0"/>
          <w:color w:val="auto"/>
          <w:sz w:val="21"/>
          <w:szCs w:val="21"/>
          <w:highlight w:val="auto"/>
        </w:rPr>
      </w:pPr>
      <w:bookmarkStart w:id="101" w:name="_Toc249760795"/>
      <w:bookmarkStart w:id="102" w:name="_Toc251566666"/>
      <w:bookmarkStart w:id="103" w:name="_Toc367274992"/>
      <w:bookmarkStart w:id="104" w:name="_Toc295465370"/>
      <w:bookmarkStart w:id="105" w:name="_Toc13224"/>
      <w:bookmarkStart w:id="106" w:name="_Toc60757537"/>
      <w:bookmarkStart w:id="107" w:name="_Toc468296142"/>
      <w:r>
        <w:rPr>
          <w:rFonts w:ascii="宋体" w:eastAsia="宋体" w:cs="宋体" w:hint="eastAsia"/>
          <w:snapToGrid w:val="0"/>
          <w:color w:val="auto"/>
          <w:sz w:val="21"/>
          <w:szCs w:val="21"/>
          <w:highlight w:val="auto"/>
        </w:rPr>
        <w:t>五、评标</w:t>
      </w:r>
      <w:bookmarkEnd w:id="101"/>
      <w:bookmarkEnd w:id="102"/>
      <w:r>
        <w:rPr>
          <w:rFonts w:ascii="宋体" w:eastAsia="宋体" w:cs="宋体" w:hint="eastAsia"/>
          <w:snapToGrid w:val="0"/>
          <w:color w:val="auto"/>
          <w:sz w:val="21"/>
          <w:szCs w:val="21"/>
          <w:highlight w:val="auto"/>
        </w:rPr>
        <w:t>细则及标准</w:t>
      </w:r>
      <w:bookmarkEnd w:id="103"/>
      <w:bookmarkEnd w:id="104"/>
      <w:bookmarkEnd w:id="105"/>
      <w:bookmarkEnd w:id="106"/>
      <w:bookmarkEnd w:id="107"/>
    </w:p>
    <w:p>
      <w:pPr>
        <w:spacing w:beforeLines="50" w:before="190" w:afterLines="50" w:after="190" w:line="360" w:lineRule="auto"/>
        <w:ind w:firstLineChars="196" w:firstLine="412"/>
        <w:rPr>
          <w:rFonts w:ascii="宋体" w:cs="宋体"/>
          <w:color w:val="auto"/>
          <w:szCs w:val="21"/>
          <w:highlight w:val="auto"/>
        </w:rPr>
      </w:pPr>
      <w:r>
        <w:rPr>
          <w:rFonts w:ascii="宋体" w:cs="宋体" w:hint="eastAsia"/>
          <w:bCs/>
          <w:color w:val="auto"/>
          <w:szCs w:val="21"/>
          <w:highlight w:val="auto"/>
        </w:rPr>
        <w:t>1.</w:t>
      </w:r>
      <w:r>
        <w:rPr>
          <w:rFonts w:ascii="宋体" w:cs="宋体" w:hint="eastAsia"/>
          <w:color w:val="auto"/>
          <w:szCs w:val="21"/>
          <w:highlight w:val="auto"/>
        </w:rPr>
        <w:t>商务</w:t>
      </w:r>
      <w:r>
        <w:rPr>
          <w:rFonts w:ascii="宋体" w:cs="宋体" w:hint="eastAsia"/>
          <w:color w:val="auto"/>
          <w:szCs w:val="21"/>
          <w:lang w:val="en-US" w:eastAsia="zh-CN"/>
          <w:highlight w:val="auto"/>
        </w:rPr>
        <w:t>资信</w:t>
      </w:r>
      <w:r>
        <w:rPr>
          <w:rFonts w:ascii="宋体" w:cs="宋体" w:hint="eastAsia"/>
          <w:color w:val="auto"/>
          <w:szCs w:val="21"/>
          <w:highlight w:val="auto"/>
        </w:rPr>
        <w:t>技术</w:t>
      </w:r>
      <w:r>
        <w:rPr>
          <w:rFonts w:ascii="宋体" w:cs="宋体" w:hint="eastAsia"/>
          <w:bCs/>
          <w:color w:val="auto"/>
          <w:szCs w:val="21"/>
          <w:highlight w:val="auto"/>
        </w:rPr>
        <w:t>部分</w:t>
      </w:r>
      <w:r>
        <w:rPr>
          <w:rFonts w:ascii="宋体" w:cs="宋体" w:hint="eastAsia"/>
          <w:color w:val="auto"/>
          <w:szCs w:val="21"/>
          <w:highlight w:val="auto"/>
        </w:rPr>
        <w:t>（</w:t>
      </w:r>
      <w:r>
        <w:rPr>
          <w:rFonts w:ascii="宋体" w:cs="宋体" w:hint="eastAsia"/>
          <w:color w:val="auto"/>
          <w:szCs w:val="21"/>
          <w:u w:val="single"/>
          <w:highlight w:val="auto"/>
        </w:rPr>
        <w:t>70</w:t>
      </w:r>
      <w:r>
        <w:rPr>
          <w:rFonts w:ascii="宋体" w:cs="宋体" w:hint="eastAsia"/>
          <w:color w:val="auto"/>
          <w:szCs w:val="21"/>
          <w:highlight w:val="auto"/>
        </w:rPr>
        <w:t>分）</w:t>
      </w: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69"/>
        <w:gridCol w:w="703"/>
        <w:gridCol w:w="6011"/>
        <w:gridCol w:w="1034"/>
      </w:tblGrid>
      <w:tr>
        <w:trPr>
          <w:trHeight w:val="454"/>
        </w:trPr>
        <w:tc>
          <w:tcPr>
            <w:tcW w:w="556" w:type="pct"/>
            <w:vAlign w:val="center"/>
          </w:tcPr>
          <w:p>
            <w:pPr>
              <w:spacing w:line="360" w:lineRule="auto"/>
              <w:jc w:val="center"/>
              <w:rPr>
                <w:rFonts w:ascii="宋体" w:cs="宋体"/>
                <w:bCs/>
                <w:color w:val="auto"/>
                <w:spacing w:val="-6"/>
                <w:szCs w:val="21"/>
                <w:highlight w:val="auto"/>
              </w:rPr>
            </w:pPr>
            <w:r>
              <w:rPr>
                <w:rFonts w:ascii="宋体" w:cs="宋体" w:hint="eastAsia"/>
                <w:bCs/>
                <w:color w:val="auto"/>
                <w:spacing w:val="-6"/>
                <w:szCs w:val="21"/>
                <w:highlight w:val="auto"/>
              </w:rPr>
              <w:t>评审因素</w:t>
            </w:r>
          </w:p>
        </w:tc>
        <w:tc>
          <w:tcPr>
            <w:tcW w:w="403" w:type="pct"/>
            <w:vAlign w:val="center"/>
          </w:tcPr>
          <w:p>
            <w:pPr>
              <w:spacing w:line="360" w:lineRule="auto"/>
              <w:jc w:val="center"/>
              <w:rPr>
                <w:rFonts w:ascii="宋体" w:cs="宋体"/>
                <w:bCs/>
                <w:color w:val="auto"/>
                <w:spacing w:val="-6"/>
                <w:szCs w:val="21"/>
                <w:highlight w:val="auto"/>
              </w:rPr>
            </w:pPr>
            <w:r>
              <w:rPr>
                <w:rFonts w:ascii="宋体" w:cs="宋体" w:hint="eastAsia"/>
                <w:bCs/>
                <w:color w:val="auto"/>
                <w:spacing w:val="-6"/>
                <w:szCs w:val="21"/>
                <w:highlight w:val="auto"/>
              </w:rPr>
              <w:t>分值</w:t>
            </w:r>
          </w:p>
        </w:tc>
        <w:tc>
          <w:tcPr>
            <w:tcW w:w="3446" w:type="pct"/>
            <w:vAlign w:val="center"/>
          </w:tcPr>
          <w:p>
            <w:pPr>
              <w:pStyle w:val="91"/>
              <w:tabs>
                <w:tab w:val="left" w:pos="1418"/>
              </w:tabs>
              <w:rPr>
                <w:rFonts w:ascii="宋体" w:eastAsia="宋体" w:cs="宋体"/>
                <w:bCs/>
                <w:color w:val="auto"/>
                <w:spacing w:val="-6"/>
                <w:sz w:val="21"/>
                <w:szCs w:val="21"/>
                <w:highlight w:val="auto"/>
              </w:rPr>
            </w:pPr>
            <w:r>
              <w:rPr>
                <w:rFonts w:ascii="宋体" w:eastAsia="宋体" w:cs="宋体" w:hint="eastAsia"/>
                <w:bCs/>
                <w:color w:val="auto"/>
                <w:spacing w:val="-6"/>
                <w:sz w:val="21"/>
                <w:szCs w:val="21"/>
                <w:highlight w:val="auto"/>
              </w:rPr>
              <w:t>评分细则</w:t>
            </w:r>
          </w:p>
        </w:tc>
        <w:tc>
          <w:tcPr>
            <w:tcW w:w="593" w:type="pct"/>
            <w:vAlign w:val="center"/>
          </w:tcPr>
          <w:p>
            <w:pPr>
              <w:pStyle w:val="91"/>
              <w:tabs>
                <w:tab w:val="left" w:pos="1418"/>
              </w:tabs>
              <w:rPr>
                <w:rFonts w:ascii="宋体" w:eastAsia="宋体" w:cs="宋体"/>
                <w:bCs/>
                <w:color w:val="auto"/>
                <w:spacing w:val="-6"/>
                <w:sz w:val="21"/>
                <w:szCs w:val="21"/>
                <w:highlight w:val="auto"/>
              </w:rPr>
            </w:pPr>
            <w:r>
              <w:rPr>
                <w:rFonts w:ascii="宋体" w:eastAsia="宋体" w:cs="宋体" w:hint="eastAsia"/>
                <w:bCs/>
                <w:color w:val="auto"/>
                <w:spacing w:val="-6"/>
                <w:sz w:val="21"/>
                <w:szCs w:val="21"/>
                <w:highlight w:val="auto"/>
              </w:rPr>
              <w:t>评审类型</w:t>
            </w:r>
          </w:p>
        </w:tc>
      </w:tr>
      <w:tr>
        <w:trPr>
          <w:trHeight w:val="454"/>
        </w:trPr>
        <w:tc>
          <w:tcPr>
            <w:tcW w:w="4406" w:type="pct"/>
            <w:gridSpan w:val="3"/>
            <w:vAlign w:val="center"/>
          </w:tcPr>
          <w:p>
            <w:pPr>
              <w:pStyle w:val="91"/>
              <w:tabs>
                <w:tab w:val="left" w:pos="1418"/>
              </w:tabs>
              <w:ind w:firstLine="398"/>
              <w:rPr>
                <w:rFonts w:ascii="宋体" w:eastAsia="宋体" w:cs="宋体" w:hint="eastAsia"/>
                <w:bCs/>
                <w:color w:val="auto"/>
                <w:spacing w:val="-6"/>
                <w:sz w:val="21"/>
                <w:szCs w:val="21"/>
                <w:lang w:eastAsia="zh-CN"/>
                <w:highlight w:val="auto"/>
              </w:rPr>
            </w:pPr>
            <w:r>
              <w:rPr>
                <w:rFonts w:ascii="宋体" w:eastAsia="宋体" w:cs="宋体" w:hint="eastAsia"/>
                <w:b/>
                <w:color w:val="auto"/>
                <w:spacing w:val="-6"/>
                <w:sz w:val="21"/>
                <w:szCs w:val="21"/>
                <w:highlight w:val="auto"/>
              </w:rPr>
              <w:t>资信分（8分）</w:t>
            </w:r>
          </w:p>
        </w:tc>
        <w:tc>
          <w:tcPr>
            <w:tcW w:w="593" w:type="pct"/>
            <w:vAlign w:val="center"/>
          </w:tcPr>
          <w:p>
            <w:pPr>
              <w:pStyle w:val="91"/>
              <w:tabs>
                <w:tab w:val="left" w:pos="1418"/>
              </w:tabs>
              <w:ind w:firstLine="398"/>
              <w:rPr>
                <w:rFonts w:ascii="宋体" w:eastAsia="宋体" w:cs="宋体"/>
                <w:b/>
                <w:color w:val="auto"/>
                <w:spacing w:val="-6"/>
                <w:sz w:val="21"/>
                <w:szCs w:val="21"/>
                <w:highlight w:val="auto"/>
              </w:rPr>
            </w:pPr>
          </w:p>
        </w:tc>
      </w:tr>
      <w:tr>
        <w:trPr>
          <w:trHeight w:val="454"/>
        </w:trPr>
        <w:tc>
          <w:tcPr>
            <w:tcW w:w="556" w:type="pct"/>
            <w:vMerge w:val="restart"/>
            <w:vAlign w:val="center"/>
          </w:tcPr>
          <w:p>
            <w:pPr>
              <w:spacing w:line="360" w:lineRule="auto"/>
              <w:jc w:val="center"/>
              <w:rPr>
                <w:rFonts w:ascii="宋体" w:cs="宋体"/>
                <w:color w:val="auto"/>
                <w:szCs w:val="21"/>
                <w:highlight w:val="auto"/>
              </w:rPr>
            </w:pPr>
            <w:r>
              <w:rPr>
                <w:rFonts w:ascii="宋体" w:cs="宋体" w:hint="eastAsia"/>
                <w:color w:val="auto"/>
                <w:kern w:val="0"/>
                <w:szCs w:val="21"/>
                <w:highlight w:val="auto"/>
              </w:rPr>
              <w:t>资信情况8分</w:t>
            </w:r>
          </w:p>
        </w:tc>
        <w:tc>
          <w:tcPr>
            <w:tcW w:w="403"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3</w:t>
            </w:r>
          </w:p>
        </w:tc>
        <w:tc>
          <w:tcPr>
            <w:tcW w:w="3446"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【客观分】评委对采购清单中的产品（指核心产品）提供相同型号产品自202</w:t>
            </w:r>
            <w:r>
              <w:rPr>
                <w:rFonts w:ascii="宋体" w:cs="宋体" w:hint="eastAsia"/>
                <w:color w:val="auto"/>
                <w:kern w:val="0"/>
                <w:szCs w:val="21"/>
                <w:lang w:val="en-US" w:eastAsia="zh-CN"/>
                <w:highlight w:val="auto"/>
              </w:rPr>
              <w:t>2</w:t>
            </w:r>
            <w:r>
              <w:rPr>
                <w:rFonts w:ascii="宋体" w:cs="宋体" w:hint="eastAsia"/>
                <w:color w:val="auto"/>
                <w:kern w:val="0"/>
                <w:szCs w:val="21"/>
                <w:highlight w:val="auto"/>
              </w:rPr>
              <w:t>年</w:t>
            </w:r>
            <w:r>
              <w:rPr>
                <w:rFonts w:ascii="宋体" w:cs="宋体" w:hint="eastAsia"/>
                <w:color w:val="auto"/>
                <w:kern w:val="0"/>
                <w:szCs w:val="21"/>
                <w:lang w:val="en-US" w:eastAsia="zh-CN"/>
                <w:highlight w:val="auto"/>
              </w:rPr>
              <w:t>9</w:t>
            </w:r>
            <w:r>
              <w:rPr>
                <w:rFonts w:ascii="宋体" w:cs="宋体" w:hint="eastAsia"/>
                <w:color w:val="auto"/>
                <w:kern w:val="0"/>
                <w:szCs w:val="21"/>
                <w:highlight w:val="auto"/>
              </w:rPr>
              <w:t xml:space="preserve">月1日起（以合同签定时间为准）与不同的最终用户签订的销售合同评分，每提供一个合同复印件得0.5分，最高3分。 </w:t>
            </w:r>
          </w:p>
          <w:p>
            <w:pPr>
              <w:widowControl/>
              <w:spacing w:line="360" w:lineRule="auto"/>
              <w:jc w:val="left"/>
              <w:textAlignment w:val="center"/>
              <w:rPr>
                <w:rFonts w:ascii="宋体" w:cs="宋体" w:hint="eastAsia"/>
                <w:color w:val="auto"/>
                <w:kern w:val="0"/>
                <w:szCs w:val="21"/>
                <w:highlight w:val="auto"/>
              </w:rPr>
            </w:pPr>
            <w:r>
              <w:rPr>
                <w:rFonts w:ascii="宋体" w:cs="宋体" w:hint="eastAsia"/>
                <w:color w:val="auto"/>
                <w:kern w:val="0"/>
                <w:szCs w:val="21"/>
                <w:highlight w:val="auto"/>
              </w:rPr>
              <w:t>注：供应商须提供该业绩项目的</w:t>
            </w:r>
            <w:r>
              <w:rPr>
                <w:rFonts w:ascii="宋体" w:cs="宋体" w:hint="eastAsia"/>
                <w:b/>
                <w:bCs/>
                <w:color w:val="auto"/>
                <w:kern w:val="0"/>
                <w:szCs w:val="21"/>
                <w:highlight w:val="auto"/>
              </w:rPr>
              <w:t>采购合同文本复印件并加盖公章（合同中需明确反应评审内容：如时间、设备名称、型号等得分项内容）</w:t>
            </w:r>
            <w:r>
              <w:rPr>
                <w:rFonts w:ascii="宋体" w:cs="宋体" w:hint="eastAsia"/>
                <w:color w:val="auto"/>
                <w:kern w:val="0"/>
                <w:szCs w:val="21"/>
                <w:highlight w:val="auto"/>
              </w:rPr>
              <w:t>。</w:t>
            </w:r>
          </w:p>
          <w:p>
            <w:pPr>
              <w:widowControl/>
              <w:spacing w:line="360" w:lineRule="auto"/>
              <w:jc w:val="left"/>
              <w:textAlignment w:val="center"/>
              <w:rPr>
                <w:rFonts w:ascii="宋体" w:cs="宋体" w:hint="eastAsia"/>
                <w:color w:val="auto"/>
                <w:kern w:val="0"/>
                <w:szCs w:val="21"/>
                <w:highlight w:val="auto"/>
              </w:rPr>
            </w:pPr>
            <w:r>
              <w:rPr>
                <w:rFonts w:hint="eastAsia"/>
                <w:color w:val="auto"/>
                <w:highlight w:val="auto"/>
              </w:rPr>
              <w:t>投标产品</w:t>
            </w:r>
            <w:r>
              <w:rPr>
                <w:rFonts w:ascii="宋体" w:cs="宋体" w:hint="eastAsia"/>
                <w:color w:val="auto"/>
                <w:kern w:val="0"/>
                <w:szCs w:val="21"/>
                <w:highlight w:val="auto"/>
              </w:rPr>
              <w:t>（指核心产品）提供相同型号产品</w:t>
            </w:r>
            <w:r>
              <w:rPr>
                <w:rFonts w:hint="eastAsia"/>
                <w:color w:val="auto"/>
                <w:highlight w:val="auto"/>
              </w:rPr>
              <w:t>为省级以上主管部门认定的首台套产品，自纳入《省推广应用指导目录》起三年内参加政府采购活动，视同已具备相应销售业绩，本项得满分。</w:t>
            </w:r>
          </w:p>
        </w:tc>
        <w:tc>
          <w:tcPr>
            <w:tcW w:w="593"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556" w:type="pct"/>
            <w:vMerge/>
            <w:vAlign w:val="center"/>
          </w:tcPr>
          <w:p/>
        </w:tc>
        <w:tc>
          <w:tcPr>
            <w:tcW w:w="403"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3</w:t>
            </w:r>
          </w:p>
        </w:tc>
        <w:tc>
          <w:tcPr>
            <w:tcW w:w="3446"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【客观分】评委对供应商或所投产品制造商（指核心产品）具备质量管理体系认证、职业健康安全管理体系认证、环境管理体系认证且在有效期内的得每个得1分。本项最高得3分。</w:t>
            </w:r>
            <w:r>
              <w:rPr>
                <w:rFonts w:ascii="宋体" w:cs="宋体" w:hint="eastAsia"/>
                <w:b/>
                <w:bCs/>
                <w:color w:val="auto"/>
                <w:kern w:val="0"/>
                <w:szCs w:val="21"/>
                <w:highlight w:val="auto"/>
              </w:rPr>
              <w:t>（有效证明材料为认证证书复印件及在全国认证认可信息公共服务平台（http://cx.cnca.cn/）查询的截图，两者缺一不可，否则不得分，加盖公章）</w:t>
            </w:r>
          </w:p>
        </w:tc>
        <w:tc>
          <w:tcPr>
            <w:tcW w:w="593"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556" w:type="pct"/>
            <w:vMerge/>
            <w:vAlign w:val="center"/>
          </w:tcPr>
          <w:p/>
        </w:tc>
        <w:tc>
          <w:tcPr>
            <w:tcW w:w="403" w:type="pct"/>
            <w:vAlign w:val="center"/>
          </w:tcPr>
          <w:p>
            <w:pPr>
              <w:spacing w:line="360" w:lineRule="auto"/>
              <w:jc w:val="center"/>
              <w:rPr>
                <w:rFonts w:ascii="宋体" w:cs="宋体"/>
                <w:color w:val="auto"/>
                <w:szCs w:val="21"/>
                <w:highlight w:val="auto"/>
              </w:rPr>
            </w:pPr>
            <w:r>
              <w:rPr>
                <w:rFonts w:ascii="宋体" w:cs="宋体" w:hint="eastAsia"/>
                <w:color w:val="auto"/>
                <w:szCs w:val="21"/>
                <w:highlight w:val="auto"/>
              </w:rPr>
              <w:t>2</w:t>
            </w:r>
          </w:p>
        </w:tc>
        <w:tc>
          <w:tcPr>
            <w:tcW w:w="3446"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质保期满足采购文件要求的，免费每延长1年加1分（含软硬件），最多加2分</w:t>
            </w:r>
            <w:r>
              <w:rPr>
                <w:rFonts w:ascii="宋体" w:cs="宋体" w:hint="eastAsia"/>
                <w:b/>
                <w:bCs/>
                <w:color w:val="auto"/>
                <w:kern w:val="0"/>
                <w:szCs w:val="21"/>
                <w:highlight w:val="auto"/>
              </w:rPr>
              <w:t>（含多台设备的则每台设备均需按评分点延长，若仅延长一</w:t>
            </w:r>
            <w:r>
              <w:rPr>
                <w:rFonts w:ascii="宋体" w:cs="宋体" w:hint="eastAsia"/>
                <w:b/>
                <w:bCs/>
                <w:color w:val="auto"/>
                <w:kern w:val="0"/>
                <w:szCs w:val="21"/>
                <w:lang w:val="en-US" w:eastAsia="zh-CN"/>
                <w:highlight w:val="auto"/>
              </w:rPr>
              <w:t>台</w:t>
            </w:r>
            <w:r>
              <w:rPr>
                <w:rFonts w:ascii="宋体" w:cs="宋体" w:hint="eastAsia"/>
                <w:b/>
                <w:bCs/>
                <w:color w:val="auto"/>
                <w:kern w:val="0"/>
                <w:szCs w:val="21"/>
                <w:highlight w:val="auto"/>
              </w:rPr>
              <w:t>设备的或某一设备延长时间不符合得分点的则该项均不得分）（延长时间不足1年的不计入加分，以承诺形式提供（承诺格式自拟），承诺内容将作为合同内容的一部分）</w:t>
            </w:r>
          </w:p>
        </w:tc>
        <w:tc>
          <w:tcPr>
            <w:tcW w:w="593" w:type="pct"/>
            <w:vAlign w:val="center"/>
          </w:tcPr>
          <w:p>
            <w:pPr>
              <w:widowControl/>
              <w:spacing w:line="360" w:lineRule="auto"/>
              <w:jc w:val="left"/>
              <w:textAlignment w:val="center"/>
              <w:rPr>
                <w:rFonts w:ascii="宋体" w:cs="宋体"/>
                <w:color w:val="auto"/>
                <w:kern w:val="0"/>
                <w:szCs w:val="21"/>
                <w:highlight w:val="auto"/>
              </w:rPr>
            </w:pPr>
            <w:r>
              <w:rPr>
                <w:rFonts w:ascii="宋体" w:cs="宋体" w:hint="eastAsia"/>
                <w:color w:val="auto"/>
                <w:kern w:val="0"/>
                <w:szCs w:val="21"/>
                <w:highlight w:val="auto"/>
              </w:rPr>
              <w:t>客观分</w:t>
            </w:r>
          </w:p>
        </w:tc>
      </w:tr>
      <w:tr>
        <w:trPr>
          <w:trHeight w:val="454"/>
        </w:trPr>
        <w:tc>
          <w:tcPr>
            <w:tcW w:w="4406" w:type="pct"/>
            <w:gridSpan w:val="3"/>
            <w:vAlign w:val="center"/>
          </w:tcPr>
          <w:p>
            <w:pPr>
              <w:pStyle w:val="24"/>
              <w:spacing w:line="360" w:lineRule="auto"/>
              <w:ind w:left="0"/>
              <w:jc w:val="center"/>
              <w:rPr>
                <w:rFonts w:ascii="宋体" w:eastAsia="宋体" w:cs="宋体"/>
                <w:color w:val="auto"/>
                <w:spacing w:val="-6"/>
                <w:sz w:val="21"/>
                <w:szCs w:val="21"/>
                <w:highlight w:val="auto"/>
              </w:rPr>
            </w:pPr>
            <w:r>
              <w:rPr>
                <w:rFonts w:ascii="宋体" w:eastAsia="宋体" w:cs="宋体" w:hint="eastAsia"/>
                <w:b/>
                <w:bCs/>
                <w:color w:val="auto"/>
                <w:spacing w:val="-6"/>
                <w:sz w:val="21"/>
                <w:szCs w:val="21"/>
                <w:highlight w:val="auto"/>
              </w:rPr>
              <w:t>技术分（62分）</w:t>
            </w:r>
          </w:p>
        </w:tc>
        <w:tc>
          <w:tcPr>
            <w:tcW w:w="593" w:type="pct"/>
            <w:vAlign w:val="center"/>
          </w:tcPr>
          <w:p>
            <w:pPr>
              <w:pStyle w:val="24"/>
              <w:spacing w:line="360" w:lineRule="auto"/>
              <w:ind w:left="0"/>
              <w:jc w:val="center"/>
              <w:rPr>
                <w:rFonts w:ascii="宋体" w:eastAsia="宋体" w:cs="宋体"/>
                <w:b/>
                <w:bCs/>
                <w:color w:val="auto"/>
                <w:spacing w:val="-6"/>
                <w:sz w:val="21"/>
                <w:szCs w:val="21"/>
                <w:highlight w:val="auto"/>
              </w:rPr>
            </w:pPr>
          </w:p>
        </w:tc>
      </w:tr>
      <w:tr>
        <w:trPr>
          <w:trHeight w:val="454"/>
        </w:trPr>
        <w:tc>
          <w:tcPr>
            <w:tcW w:w="556" w:type="pct"/>
            <w:vMerge w:val="restart"/>
            <w:vAlign w:val="center"/>
          </w:tcPr>
          <w:p>
            <w:pPr>
              <w:spacing w:line="360" w:lineRule="auto"/>
              <w:rPr>
                <w:rFonts w:ascii="宋体" w:cs="宋体"/>
                <w:color w:val="auto"/>
                <w:spacing w:val="-6"/>
                <w:szCs w:val="21"/>
                <w:highlight w:val="auto"/>
              </w:rPr>
            </w:pPr>
            <w:r>
              <w:rPr>
                <w:rFonts w:ascii="宋体" w:cs="宋体" w:hint="eastAsia"/>
                <w:color w:val="auto"/>
                <w:szCs w:val="21"/>
                <w:highlight w:val="auto"/>
              </w:rPr>
              <w:t>产品的响应程度（</w:t>
            </w:r>
            <w:r>
              <w:rPr>
                <w:rFonts w:ascii="宋体" w:cs="宋体" w:hint="eastAsia"/>
                <w:color w:val="auto"/>
                <w:szCs w:val="21"/>
                <w:lang w:val="en-US" w:eastAsia="zh-CN"/>
                <w:highlight w:val="auto"/>
              </w:rPr>
              <w:t>31.2</w:t>
            </w:r>
            <w:r>
              <w:rPr>
                <w:rFonts w:ascii="宋体" w:cs="宋体" w:hint="eastAsia"/>
                <w:color w:val="auto"/>
                <w:szCs w:val="21"/>
                <w:highlight w:val="auto"/>
              </w:rPr>
              <w:t>分）</w:t>
            </w:r>
          </w:p>
        </w:tc>
        <w:tc>
          <w:tcPr>
            <w:tcW w:w="403" w:type="pct"/>
            <w:vAlign w:val="center"/>
          </w:tcPr>
          <w:p>
            <w:pPr>
              <w:spacing w:line="360" w:lineRule="auto"/>
              <w:jc w:val="center"/>
              <w:rPr>
                <w:rFonts w:ascii="宋体" w:eastAsia="宋体" w:cs="宋体"/>
                <w:color w:val="auto"/>
                <w:spacing w:val="-6"/>
                <w:szCs w:val="21"/>
                <w:lang w:val="en-US" w:eastAsia="zh-CN"/>
                <w:highlight w:val="auto"/>
              </w:rPr>
            </w:pPr>
            <w:r>
              <w:rPr>
                <w:rFonts w:ascii="宋体" w:cs="宋体" w:hint="eastAsia"/>
                <w:color w:val="auto"/>
                <w:szCs w:val="21"/>
                <w:lang w:val="en-US" w:eastAsia="zh-CN"/>
                <w:highlight w:val="auto"/>
              </w:rPr>
              <w:t>14.4</w:t>
            </w:r>
          </w:p>
        </w:tc>
        <w:tc>
          <w:tcPr>
            <w:tcW w:w="3446" w:type="pct"/>
            <w:vAlign w:val="center"/>
          </w:tcPr>
          <w:p>
            <w:pPr>
              <w:spacing w:line="360" w:lineRule="auto"/>
              <w:ind w:firstLine="420"/>
              <w:rPr>
                <w:rFonts w:ascii="宋体" w:cs="宋体"/>
                <w:color w:val="auto"/>
                <w:szCs w:val="21"/>
                <w:highlight w:val="auto"/>
              </w:rPr>
            </w:pPr>
            <w:r>
              <w:rPr>
                <w:rFonts w:ascii="宋体" w:cs="宋体" w:hint="eastAsia"/>
                <w:color w:val="auto"/>
                <w:szCs w:val="21"/>
                <w:highlight w:val="auto"/>
              </w:rPr>
              <w:t>对应于采购文件第四章“</w:t>
            </w:r>
            <w:r>
              <w:rPr>
                <w:rFonts w:ascii="宋体" w:cs="宋体" w:hint="eastAsia"/>
                <w:color w:val="auto"/>
                <w:szCs w:val="21"/>
                <w:lang w:eastAsia="zh-CN"/>
                <w:highlight w:val="auto"/>
              </w:rPr>
              <w:t>采购需求</w:t>
            </w:r>
            <w:r>
              <w:rPr>
                <w:rFonts w:ascii="宋体" w:cs="宋体" w:hint="eastAsia"/>
                <w:color w:val="auto"/>
                <w:szCs w:val="21"/>
                <w:highlight w:val="auto"/>
              </w:rPr>
              <w:t>”中“详细技术指标要求”</w:t>
            </w:r>
            <w:r>
              <w:rPr>
                <w:rFonts w:ascii="宋体" w:cs="宋体" w:hint="eastAsia"/>
                <w:color w:val="auto"/>
                <w:szCs w:val="21"/>
                <w:lang w:val="en-US" w:eastAsia="zh-CN"/>
                <w:highlight w:val="auto"/>
              </w:rPr>
              <w:t>中“技术参数要求”</w:t>
            </w:r>
            <w:r>
              <w:rPr>
                <w:rFonts w:ascii="宋体" w:cs="宋体" w:hint="eastAsia"/>
                <w:color w:val="auto"/>
                <w:szCs w:val="21"/>
                <w:highlight w:val="auto"/>
              </w:rPr>
              <w:t>的符合度，每一条带“★”条款不满足采购文件要求扣</w:t>
            </w:r>
            <w:r>
              <w:rPr>
                <w:rFonts w:ascii="宋体" w:cs="宋体" w:hint="eastAsia"/>
                <w:color w:val="auto"/>
                <w:szCs w:val="21"/>
                <w:lang w:val="en-US" w:eastAsia="zh-CN"/>
                <w:highlight w:val="auto"/>
              </w:rPr>
              <w:t>0.9</w:t>
            </w:r>
            <w:r>
              <w:rPr>
                <w:rFonts w:ascii="宋体" w:cs="宋体" w:hint="eastAsia"/>
                <w:color w:val="auto"/>
                <w:szCs w:val="21"/>
                <w:highlight w:val="auto"/>
              </w:rPr>
              <w:t>分</w:t>
            </w:r>
            <w:r>
              <w:rPr>
                <w:rFonts w:ascii="宋体" w:cs="宋体" w:hint="eastAsia"/>
                <w:color w:val="auto"/>
                <w:szCs w:val="21"/>
                <w:lang w:eastAsia="zh-CN"/>
                <w:highlight w:val="auto"/>
              </w:rPr>
              <w:t>，</w:t>
            </w:r>
            <w:r>
              <w:rPr>
                <w:rFonts w:ascii="宋体" w:cs="宋体" w:hint="eastAsia"/>
                <w:color w:val="auto"/>
                <w:szCs w:val="21"/>
                <w:lang w:val="en-US" w:eastAsia="zh-CN"/>
                <w:highlight w:val="auto"/>
              </w:rPr>
              <w:t>扣完为止</w:t>
            </w:r>
            <w:r>
              <w:rPr>
                <w:rFonts w:ascii="宋体" w:cs="宋体" w:hint="eastAsia"/>
                <w:color w:val="auto"/>
                <w:szCs w:val="21"/>
                <w:highlight w:val="auto"/>
              </w:rPr>
              <w:t>。</w:t>
            </w:r>
            <w:r>
              <w:rPr>
                <w:rFonts w:ascii="宋体" w:cs="宋体" w:hint="eastAsia"/>
                <w:b/>
                <w:bCs/>
                <w:color w:val="auto"/>
                <w:szCs w:val="21"/>
                <w:highlight w:val="auto"/>
              </w:rPr>
              <w:t>（投标人</w:t>
            </w:r>
            <w:r>
              <w:rPr>
                <w:rFonts w:ascii="宋体" w:cs="宋体" w:hint="eastAsia"/>
                <w:b/>
                <w:bCs/>
                <w:color w:val="auto"/>
                <w:szCs w:val="21"/>
                <w:lang w:val="en-US" w:eastAsia="zh-CN"/>
                <w:highlight w:val="auto"/>
              </w:rPr>
              <w:t>未</w:t>
            </w:r>
            <w:r>
              <w:rPr>
                <w:rFonts w:ascii="宋体" w:cs="宋体" w:hint="eastAsia"/>
                <w:b/>
                <w:bCs/>
                <w:color w:val="auto"/>
                <w:szCs w:val="21"/>
                <w:highlight w:val="auto"/>
              </w:rPr>
              <w:t>如实填写偏离表，</w:t>
            </w:r>
            <w:r>
              <w:rPr>
                <w:rFonts w:ascii="宋体" w:cs="宋体" w:hint="eastAsia"/>
                <w:b/>
                <w:bCs/>
                <w:color w:val="auto"/>
                <w:szCs w:val="21"/>
                <w:lang w:val="en-US" w:eastAsia="zh-CN"/>
                <w:highlight w:val="auto"/>
              </w:rPr>
              <w:t>采购人有权上报上级主管部门，验收时</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zCs w:val="21"/>
                <w:highlight w:val="auto"/>
              </w:rPr>
              <w:t>，不予付款（指标参数中黑体字部分佐证材料需提供相应材料或承诺，详见指标参数中要求，未按要求提供的视为负偏离））</w:t>
            </w:r>
          </w:p>
        </w:tc>
        <w:tc>
          <w:tcPr>
            <w:tcW w:w="593" w:type="pct"/>
            <w:vAlign w:val="center"/>
          </w:tcPr>
          <w:p>
            <w:pPr>
              <w:spacing w:line="360" w:lineRule="auto"/>
              <w:rPr>
                <w:rFonts w:ascii="宋体" w:cs="宋体"/>
                <w:color w:val="auto"/>
                <w:szCs w:val="21"/>
                <w:highlight w:val="auto"/>
              </w:rPr>
            </w:pPr>
            <w:r>
              <w:rPr>
                <w:rFonts w:ascii="宋体" w:cs="宋体" w:hint="eastAsia"/>
                <w:color w:val="auto"/>
                <w:kern w:val="0"/>
                <w:szCs w:val="21"/>
                <w:highlight w:val="auto"/>
              </w:rPr>
              <w:t>客观分</w:t>
            </w:r>
          </w:p>
        </w:tc>
      </w:tr>
      <w:tr>
        <w:trPr>
          <w:trHeight w:val="454"/>
        </w:trPr>
        <w:tc>
          <w:tcPr>
            <w:tcW w:w="556" w:type="pct"/>
            <w:vMerge/>
            <w:vAlign w:val="center"/>
          </w:tcPr>
          <w:p/>
        </w:tc>
        <w:tc>
          <w:tcPr>
            <w:tcW w:w="403" w:type="pct"/>
            <w:vAlign w:val="center"/>
          </w:tcPr>
          <w:p>
            <w:pPr>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16.8</w:t>
            </w:r>
          </w:p>
        </w:tc>
        <w:tc>
          <w:tcPr>
            <w:tcW w:w="3446" w:type="pct"/>
            <w:vAlign w:val="center"/>
          </w:tcPr>
          <w:p>
            <w:pPr>
              <w:spacing w:line="360" w:lineRule="auto"/>
              <w:ind w:firstLine="420"/>
              <w:rPr>
                <w:rFonts w:ascii="宋体" w:cs="宋体"/>
                <w:color w:val="auto"/>
                <w:szCs w:val="21"/>
                <w:highlight w:val="auto"/>
              </w:rPr>
            </w:pPr>
            <w:r>
              <w:rPr>
                <w:rFonts w:ascii="宋体" w:cs="宋体" w:hint="eastAsia"/>
                <w:color w:val="auto"/>
                <w:szCs w:val="21"/>
                <w:highlight w:val="auto"/>
              </w:rPr>
              <w:t>对应于采购文件第四章“</w:t>
            </w:r>
            <w:r>
              <w:rPr>
                <w:rFonts w:ascii="宋体" w:cs="宋体" w:hint="eastAsia"/>
                <w:color w:val="auto"/>
                <w:szCs w:val="21"/>
                <w:lang w:eastAsia="zh-CN"/>
                <w:highlight w:val="auto"/>
              </w:rPr>
              <w:t>采购需求</w:t>
            </w:r>
            <w:r>
              <w:rPr>
                <w:rFonts w:ascii="宋体" w:cs="宋体" w:hint="eastAsia"/>
                <w:color w:val="auto"/>
                <w:szCs w:val="21"/>
                <w:highlight w:val="auto"/>
              </w:rPr>
              <w:t>”中“详细技术指标要求”</w:t>
            </w:r>
            <w:r>
              <w:rPr>
                <w:rFonts w:ascii="宋体" w:cs="宋体" w:hint="eastAsia"/>
                <w:color w:val="auto"/>
                <w:szCs w:val="21"/>
                <w:lang w:val="en-US" w:eastAsia="zh-CN"/>
                <w:highlight w:val="auto"/>
              </w:rPr>
              <w:t>中“技术参数要求”</w:t>
            </w:r>
            <w:r>
              <w:rPr>
                <w:rFonts w:ascii="宋体" w:cs="宋体" w:hint="eastAsia"/>
                <w:color w:val="auto"/>
                <w:szCs w:val="21"/>
                <w:highlight w:val="auto"/>
              </w:rPr>
              <w:t>的符合度，每一条未带“★”条款不满足采购文件要求扣0.</w:t>
            </w:r>
            <w:r>
              <w:rPr>
                <w:rFonts w:ascii="宋体" w:cs="宋体" w:hint="eastAsia"/>
                <w:color w:val="auto"/>
                <w:szCs w:val="21"/>
                <w:lang w:val="en-US" w:eastAsia="zh-CN"/>
                <w:highlight w:val="auto"/>
              </w:rPr>
              <w:t>35</w:t>
            </w:r>
            <w:r>
              <w:rPr>
                <w:rFonts w:ascii="宋体" w:cs="宋体" w:hint="eastAsia"/>
                <w:color w:val="auto"/>
                <w:szCs w:val="21"/>
                <w:highlight w:val="auto"/>
              </w:rPr>
              <w:t>分</w:t>
            </w:r>
            <w:r>
              <w:rPr>
                <w:rFonts w:ascii="宋体" w:cs="宋体" w:hint="eastAsia"/>
                <w:color w:val="auto"/>
                <w:szCs w:val="21"/>
                <w:lang w:eastAsia="zh-CN"/>
                <w:highlight w:val="auto"/>
              </w:rPr>
              <w:t>，</w:t>
            </w:r>
            <w:r>
              <w:rPr>
                <w:rFonts w:ascii="宋体" w:cs="宋体" w:hint="eastAsia"/>
                <w:color w:val="auto"/>
                <w:szCs w:val="21"/>
                <w:lang w:val="en-US" w:eastAsia="zh-CN"/>
                <w:highlight w:val="auto"/>
              </w:rPr>
              <w:t>扣完为止</w:t>
            </w:r>
            <w:r>
              <w:rPr>
                <w:rFonts w:ascii="宋体" w:cs="宋体" w:hint="eastAsia"/>
                <w:color w:val="auto"/>
                <w:szCs w:val="21"/>
                <w:highlight w:val="auto"/>
              </w:rPr>
              <w:t>。</w:t>
            </w:r>
            <w:r>
              <w:rPr>
                <w:rFonts w:ascii="宋体" w:cs="宋体" w:hint="eastAsia"/>
                <w:b/>
                <w:bCs/>
                <w:color w:val="auto"/>
                <w:szCs w:val="21"/>
                <w:highlight w:val="auto"/>
              </w:rPr>
              <w:t>（投标人</w:t>
            </w:r>
            <w:r>
              <w:rPr>
                <w:rFonts w:ascii="宋体" w:cs="宋体" w:hint="eastAsia"/>
                <w:b/>
                <w:bCs/>
                <w:color w:val="auto"/>
                <w:szCs w:val="21"/>
                <w:lang w:val="en-US" w:eastAsia="zh-CN"/>
                <w:highlight w:val="auto"/>
              </w:rPr>
              <w:t>未</w:t>
            </w:r>
            <w:r>
              <w:rPr>
                <w:rFonts w:ascii="宋体" w:cs="宋体" w:hint="eastAsia"/>
                <w:b/>
                <w:bCs/>
                <w:color w:val="auto"/>
                <w:szCs w:val="21"/>
                <w:highlight w:val="auto"/>
              </w:rPr>
              <w:t>如实填写偏离表，</w:t>
            </w:r>
            <w:r>
              <w:rPr>
                <w:rFonts w:ascii="宋体" w:cs="宋体" w:hint="eastAsia"/>
                <w:b/>
                <w:bCs/>
                <w:color w:val="auto"/>
                <w:szCs w:val="21"/>
                <w:lang w:val="en-US" w:eastAsia="zh-CN"/>
                <w:highlight w:val="auto"/>
              </w:rPr>
              <w:t>采购人有权上报上级主管部门，验收时</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zCs w:val="21"/>
                <w:highlight w:val="auto"/>
              </w:rPr>
              <w:t>，不予付款（指标参数中黑体字部分佐证材料需提供相应材料或承诺，详见指标参数中要求，未按要求提供的视为负偏离））</w:t>
            </w:r>
          </w:p>
        </w:tc>
        <w:tc>
          <w:tcPr>
            <w:tcW w:w="593" w:type="pct"/>
            <w:vAlign w:val="center"/>
          </w:tcPr>
          <w:p>
            <w:pPr>
              <w:spacing w:line="360" w:lineRule="auto"/>
              <w:rPr>
                <w:rFonts w:ascii="宋体" w:cs="宋体"/>
                <w:color w:val="auto"/>
                <w:szCs w:val="21"/>
                <w:highlight w:val="auto"/>
              </w:rPr>
            </w:pPr>
            <w:r>
              <w:rPr>
                <w:rFonts w:ascii="宋体" w:cs="宋体" w:hint="eastAsia"/>
                <w:color w:val="auto"/>
                <w:kern w:val="0"/>
                <w:szCs w:val="21"/>
                <w:highlight w:val="auto"/>
              </w:rPr>
              <w:t>客观分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产品总体性能及质量水平（</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3" w:type="pct"/>
            <w:vAlign w:val="center"/>
          </w:tcPr>
          <w:p>
            <w:pPr>
              <w:spacing w:line="360" w:lineRule="auto"/>
              <w:jc w:val="center"/>
              <w:rPr>
                <w:rFonts w:ascii="宋体" w:eastAsia="宋体" w:cs="宋体"/>
                <w:color w:val="auto"/>
                <w:spacing w:val="-6"/>
                <w:szCs w:val="21"/>
                <w:lang w:val="en-US" w:eastAsia="zh-CN"/>
                <w:highlight w:val="auto"/>
              </w:rPr>
            </w:pPr>
            <w:r>
              <w:rPr>
                <w:rFonts w:ascii="宋体" w:cs="宋体" w:hint="eastAsia"/>
                <w:color w:val="auto"/>
                <w:szCs w:val="21"/>
                <w:lang w:val="en-US" w:eastAsia="zh-CN"/>
                <w:highlight w:val="auto"/>
              </w:rPr>
              <w:t>5.0</w:t>
            </w:r>
          </w:p>
        </w:tc>
        <w:tc>
          <w:tcPr>
            <w:tcW w:w="3446"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投标设备的总体技术性能及质量水平，包括设备性能先进程度、设备的特点、设备的质量水平、设备的操作说明；使用效果等。分值（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产品总体性能及质量水平的详细描述。 </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产品的可操作性和可维护性（</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3" w:type="pct"/>
            <w:vAlign w:val="center"/>
          </w:tcPr>
          <w:p>
            <w:pPr>
              <w:spacing w:line="360" w:lineRule="auto"/>
              <w:jc w:val="center"/>
              <w:rPr>
                <w:rFonts w:ascii="宋体" w:eastAsia="宋体" w:cs="宋体" w:hint="eastAsia"/>
                <w:color w:val="auto"/>
                <w:spacing w:val="-6"/>
                <w:szCs w:val="21"/>
                <w:lang w:eastAsia="zh-CN"/>
                <w:highlight w:val="auto"/>
              </w:rPr>
            </w:pPr>
            <w:r>
              <w:rPr>
                <w:rFonts w:ascii="宋体" w:cs="宋体" w:hint="eastAsia"/>
                <w:color w:val="auto"/>
                <w:szCs w:val="21"/>
                <w:lang w:val="en-US" w:eastAsia="zh-CN"/>
                <w:highlight w:val="auto"/>
              </w:rPr>
              <w:t>5.0</w:t>
            </w:r>
          </w:p>
        </w:tc>
        <w:tc>
          <w:tcPr>
            <w:tcW w:w="3446"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投标设备的可操作性和可维护性：投标设备的稳定性，可操作性，维护简便程度等。分值（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产品的可操作性和可维护性的相关描述（可包含在产品总体性能及配置的描述中）。 </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供货、安装、调试计划（</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3" w:type="pct"/>
            <w:vAlign w:val="center"/>
          </w:tcPr>
          <w:p>
            <w:pPr>
              <w:spacing w:line="360" w:lineRule="auto"/>
              <w:jc w:val="center"/>
              <w:rPr>
                <w:rFonts w:ascii="宋体" w:eastAsia="宋体" w:cs="宋体" w:hint="eastAsia"/>
                <w:color w:val="auto"/>
                <w:spacing w:val="-6"/>
                <w:szCs w:val="21"/>
                <w:lang w:eastAsia="zh-CN"/>
                <w:highlight w:val="auto"/>
              </w:rPr>
            </w:pPr>
            <w:r>
              <w:rPr>
                <w:rFonts w:ascii="宋体" w:cs="宋体" w:hint="eastAsia"/>
                <w:color w:val="auto"/>
                <w:szCs w:val="21"/>
                <w:lang w:val="en-US" w:eastAsia="zh-CN"/>
                <w:highlight w:val="auto"/>
              </w:rPr>
              <w:t>5.0</w:t>
            </w:r>
          </w:p>
        </w:tc>
        <w:tc>
          <w:tcPr>
            <w:tcW w:w="3446"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投标人拟定的供货、安装、调试计划科学、合理，技术力量充足。分值（</w:t>
            </w:r>
            <w:r>
              <w:rPr>
                <w:rFonts w:ascii="宋体" w:cs="宋体" w:hint="eastAsia"/>
                <w:color w:val="auto"/>
                <w:szCs w:val="21"/>
                <w:lang w:val="en-US" w:eastAsia="zh-CN"/>
                <w:highlight w:val="auto"/>
              </w:rPr>
              <w:t>5.0、4.5、</w:t>
            </w:r>
            <w:r>
              <w:rPr>
                <w:rFonts w:ascii="宋体" w:cs="宋体" w:hint="eastAsia"/>
                <w:color w:val="auto"/>
                <w:szCs w:val="21"/>
                <w:highlight w:val="auto"/>
              </w:rPr>
              <w:t>4.0、3.5、3.0、2.5、2.0、1.5、1.0、0.5、0）。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 xml:space="preserve">供货、安装、调试计划。 </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培训方案（</w:t>
            </w:r>
            <w:r>
              <w:rPr>
                <w:rFonts w:ascii="宋体" w:cs="宋体" w:hint="eastAsia"/>
                <w:color w:val="auto"/>
                <w:szCs w:val="21"/>
                <w:lang w:val="en-US" w:eastAsia="zh-CN"/>
                <w:highlight w:val="auto"/>
              </w:rPr>
              <w:t>5.0</w:t>
            </w:r>
            <w:r>
              <w:rPr>
                <w:rFonts w:ascii="宋体" w:cs="宋体" w:hint="eastAsia"/>
                <w:color w:val="auto"/>
                <w:szCs w:val="21"/>
                <w:highlight w:val="auto"/>
              </w:rPr>
              <w:t>分）</w:t>
            </w:r>
          </w:p>
        </w:tc>
        <w:tc>
          <w:tcPr>
            <w:tcW w:w="403" w:type="pct"/>
            <w:vAlign w:val="center"/>
          </w:tcPr>
          <w:p>
            <w:pPr>
              <w:spacing w:line="360" w:lineRule="auto"/>
              <w:jc w:val="center"/>
              <w:rPr>
                <w:rFonts w:ascii="宋体" w:cs="宋体"/>
                <w:color w:val="auto"/>
                <w:spacing w:val="-6"/>
                <w:szCs w:val="21"/>
                <w:lang w:val="en-US"/>
                <w:highlight w:val="auto"/>
              </w:rPr>
            </w:pPr>
            <w:r>
              <w:rPr>
                <w:rFonts w:ascii="宋体" w:cs="宋体" w:hint="eastAsia"/>
                <w:color w:val="auto"/>
                <w:szCs w:val="21"/>
                <w:lang w:val="en-US" w:eastAsia="zh-CN"/>
                <w:highlight w:val="auto"/>
              </w:rPr>
              <w:t>5.0</w:t>
            </w:r>
          </w:p>
        </w:tc>
        <w:tc>
          <w:tcPr>
            <w:tcW w:w="3446"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投标人拟定的培训方案（包括培训内容、课时、培训工程师资质能力）分值（</w:t>
            </w:r>
            <w:r>
              <w:rPr>
                <w:rFonts w:ascii="宋体" w:cs="宋体" w:hint="eastAsia"/>
                <w:color w:val="auto"/>
                <w:szCs w:val="21"/>
                <w:lang w:val="en-US" w:eastAsia="zh-CN"/>
                <w:highlight w:val="auto"/>
              </w:rPr>
              <w:t>5.0</w:t>
            </w:r>
            <w:r>
              <w:rPr>
                <w:rFonts w:ascii="宋体" w:cs="宋体" w:hint="eastAsia"/>
                <w:color w:val="auto"/>
                <w:szCs w:val="21"/>
                <w:highlight w:val="auto"/>
              </w:rPr>
              <w:t>、</w:t>
            </w:r>
            <w:r>
              <w:rPr>
                <w:rFonts w:ascii="宋体" w:cs="宋体" w:hint="eastAsia"/>
                <w:color w:val="auto"/>
                <w:szCs w:val="21"/>
                <w:lang w:val="en-US" w:eastAsia="zh-CN"/>
                <w:highlight w:val="auto"/>
              </w:rPr>
              <w:t>4.5</w:t>
            </w:r>
            <w:r>
              <w:rPr>
                <w:rFonts w:ascii="宋体" w:cs="宋体" w:hint="eastAsia"/>
                <w:color w:val="auto"/>
                <w:szCs w:val="21"/>
                <w:highlight w:val="auto"/>
              </w:rPr>
              <w:t>、</w:t>
            </w:r>
            <w:r>
              <w:rPr>
                <w:rFonts w:ascii="宋体" w:cs="宋体" w:hint="eastAsia"/>
                <w:color w:val="auto"/>
                <w:szCs w:val="21"/>
                <w:lang w:val="en-US" w:eastAsia="zh-CN"/>
                <w:highlight w:val="auto"/>
              </w:rPr>
              <w:t>4.0</w:t>
            </w:r>
            <w:r>
              <w:rPr>
                <w:rFonts w:ascii="宋体" w:cs="宋体" w:hint="eastAsia"/>
                <w:color w:val="auto"/>
                <w:szCs w:val="21"/>
                <w:highlight w:val="auto"/>
              </w:rPr>
              <w:t>、3.5、3.0、2.5、2.0、1.5、1.0、0.5、0）。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培训方案。</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Merge w:val="restart"/>
            <w:vAlign w:val="center"/>
          </w:tcPr>
          <w:p>
            <w:pPr>
              <w:widowControl/>
              <w:spacing w:line="360" w:lineRule="auto"/>
              <w:rPr>
                <w:rFonts w:ascii="宋体" w:cs="宋体"/>
                <w:color w:val="auto"/>
                <w:szCs w:val="21"/>
                <w:highlight w:val="auto"/>
              </w:rPr>
            </w:pPr>
            <w:r>
              <w:rPr>
                <w:rFonts w:ascii="宋体" w:cs="宋体" w:hint="eastAsia"/>
                <w:color w:val="auto"/>
                <w:szCs w:val="21"/>
                <w:highlight w:val="auto"/>
              </w:rPr>
              <w:t>售后服务（</w:t>
            </w:r>
            <w:r>
              <w:rPr>
                <w:rFonts w:ascii="宋体" w:cs="宋体" w:hint="eastAsia"/>
                <w:color w:val="auto"/>
                <w:szCs w:val="21"/>
                <w:lang w:val="en-US" w:eastAsia="zh-CN"/>
                <w:highlight w:val="auto"/>
              </w:rPr>
              <w:t>10.8</w:t>
            </w:r>
            <w:r>
              <w:rPr>
                <w:rFonts w:ascii="宋体" w:cs="宋体" w:hint="eastAsia"/>
                <w:color w:val="auto"/>
                <w:szCs w:val="21"/>
                <w:highlight w:val="auto"/>
              </w:rPr>
              <w:t>分）</w:t>
            </w:r>
          </w:p>
        </w:tc>
        <w:tc>
          <w:tcPr>
            <w:tcW w:w="403" w:type="pct"/>
            <w:vAlign w:val="center"/>
          </w:tcPr>
          <w:p>
            <w:pPr>
              <w:widowControl/>
              <w:spacing w:line="360" w:lineRule="auto"/>
              <w:jc w:val="center"/>
              <w:rPr>
                <w:rFonts w:ascii="宋体" w:cs="宋体"/>
                <w:color w:val="auto"/>
                <w:szCs w:val="21"/>
                <w:lang w:val="en-US"/>
                <w:highlight w:val="auto"/>
              </w:rPr>
            </w:pPr>
            <w:r>
              <w:rPr>
                <w:rFonts w:ascii="宋体" w:cs="宋体" w:hint="eastAsia"/>
                <w:color w:val="auto"/>
                <w:szCs w:val="21"/>
                <w:lang w:val="en-US" w:eastAsia="zh-CN"/>
                <w:highlight w:val="auto"/>
              </w:rPr>
              <w:t>5.0</w:t>
            </w:r>
          </w:p>
        </w:tc>
        <w:tc>
          <w:tcPr>
            <w:tcW w:w="3446"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售后服务方案。包括但不限于满足服务响应时间的实施措施、故障解决方案、服务承诺的可行性、完整性以及服务承诺落实的保障措施，质保期内外的后续技术支持和维护能力情况。分值（</w:t>
            </w:r>
            <w:r>
              <w:rPr>
                <w:rFonts w:ascii="宋体" w:cs="宋体" w:hint="eastAsia"/>
                <w:color w:val="auto"/>
                <w:szCs w:val="21"/>
                <w:lang w:val="en-US" w:eastAsia="zh-CN"/>
                <w:highlight w:val="auto"/>
              </w:rPr>
              <w:t>5.0</w:t>
            </w:r>
            <w:r>
              <w:rPr>
                <w:rFonts w:ascii="宋体" w:cs="宋体" w:hint="eastAsia"/>
                <w:color w:val="auto"/>
                <w:szCs w:val="21"/>
                <w:highlight w:val="auto"/>
              </w:rPr>
              <w:t>、</w:t>
            </w:r>
            <w:r>
              <w:rPr>
                <w:rFonts w:ascii="宋体" w:cs="宋体" w:hint="eastAsia"/>
                <w:color w:val="auto"/>
                <w:szCs w:val="21"/>
                <w:lang w:val="en-US" w:eastAsia="zh-CN"/>
                <w:highlight w:val="auto"/>
              </w:rPr>
              <w:t>4.5</w:t>
            </w:r>
            <w:r>
              <w:rPr>
                <w:rFonts w:ascii="宋体" w:cs="宋体" w:hint="eastAsia"/>
                <w:color w:val="auto"/>
                <w:szCs w:val="21"/>
                <w:highlight w:val="auto"/>
              </w:rPr>
              <w:t>、</w:t>
            </w:r>
            <w:r>
              <w:rPr>
                <w:rFonts w:ascii="宋体" w:cs="宋体" w:hint="eastAsia"/>
                <w:color w:val="auto"/>
                <w:szCs w:val="21"/>
                <w:lang w:val="en-US" w:eastAsia="zh-CN"/>
                <w:highlight w:val="auto"/>
              </w:rPr>
              <w:t>4.0</w:t>
            </w:r>
            <w:r>
              <w:rPr>
                <w:rFonts w:ascii="宋体" w:cs="宋体" w:hint="eastAsia"/>
                <w:color w:val="auto"/>
                <w:szCs w:val="21"/>
                <w:highlight w:val="auto"/>
              </w:rPr>
              <w:t>、3.5、3.0、2.5、2.0、1.5、1.0、0.5、0）。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售后服务方案。</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Merge/>
            <w:vAlign w:val="center"/>
          </w:tcPr>
          <w:p/>
        </w:tc>
        <w:tc>
          <w:tcPr>
            <w:tcW w:w="403" w:type="pct"/>
            <w:vAlign w:val="center"/>
          </w:tcPr>
          <w:p>
            <w:pPr>
              <w:widowControl/>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3.5</w:t>
            </w:r>
          </w:p>
        </w:tc>
        <w:tc>
          <w:tcPr>
            <w:tcW w:w="3446"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售后服务机构技术服务人员情况。分值（</w:t>
            </w:r>
            <w:r>
              <w:rPr>
                <w:rFonts w:ascii="宋体" w:cs="宋体" w:hint="eastAsia"/>
                <w:color w:val="auto"/>
                <w:szCs w:val="21"/>
                <w:lang w:val="en-US" w:eastAsia="zh-CN"/>
                <w:highlight w:val="auto"/>
              </w:rPr>
              <w:t>3.5</w:t>
            </w:r>
            <w:r>
              <w:rPr>
                <w:rFonts w:ascii="宋体" w:cs="宋体" w:hint="eastAsia"/>
                <w:color w:val="auto"/>
                <w:szCs w:val="21"/>
                <w:highlight w:val="auto"/>
              </w:rPr>
              <w:t>、</w:t>
            </w:r>
            <w:r>
              <w:rPr>
                <w:rFonts w:ascii="宋体" w:cs="宋体" w:hint="eastAsia"/>
                <w:color w:val="auto"/>
                <w:szCs w:val="21"/>
                <w:lang w:val="en-US" w:eastAsia="zh-CN"/>
                <w:highlight w:val="auto"/>
              </w:rPr>
              <w:t>3.0</w:t>
            </w:r>
            <w:r>
              <w:rPr>
                <w:rFonts w:ascii="宋体" w:cs="宋体" w:hint="eastAsia"/>
                <w:color w:val="auto"/>
                <w:szCs w:val="21"/>
                <w:highlight w:val="auto"/>
              </w:rPr>
              <w:t>、2.5、2.0、1.5、1.0、0.5、0）。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技术服务人员姓名、工作经验、资质证书。</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r>
        <w:trPr>
          <w:trHeight w:val="454"/>
        </w:trPr>
        <w:tc>
          <w:tcPr>
            <w:tcW w:w="556" w:type="pct"/>
            <w:vMerge/>
            <w:vAlign w:val="center"/>
          </w:tcPr>
          <w:p/>
        </w:tc>
        <w:tc>
          <w:tcPr>
            <w:tcW w:w="403" w:type="pct"/>
            <w:vAlign w:val="center"/>
          </w:tcPr>
          <w:p>
            <w:pPr>
              <w:widowControl/>
              <w:spacing w:line="360" w:lineRule="auto"/>
              <w:jc w:val="center"/>
              <w:rPr>
                <w:rFonts w:ascii="宋体" w:eastAsia="宋体" w:cs="宋体"/>
                <w:color w:val="auto"/>
                <w:szCs w:val="21"/>
                <w:lang w:val="en-US" w:eastAsia="zh-CN"/>
                <w:highlight w:val="auto"/>
              </w:rPr>
            </w:pPr>
            <w:r>
              <w:rPr>
                <w:rFonts w:ascii="宋体" w:cs="宋体" w:hint="eastAsia"/>
                <w:color w:val="auto"/>
                <w:szCs w:val="21"/>
                <w:lang w:val="en-US" w:eastAsia="zh-CN"/>
                <w:highlight w:val="auto"/>
              </w:rPr>
              <w:t>2.3</w:t>
            </w:r>
          </w:p>
        </w:tc>
        <w:tc>
          <w:tcPr>
            <w:tcW w:w="3446" w:type="pct"/>
            <w:vAlign w:val="center"/>
          </w:tcPr>
          <w:p>
            <w:pPr>
              <w:widowControl/>
              <w:spacing w:line="360" w:lineRule="auto"/>
              <w:ind w:firstLine="420"/>
              <w:jc w:val="left"/>
              <w:rPr>
                <w:rFonts w:ascii="宋体" w:cs="宋体"/>
                <w:color w:val="auto"/>
                <w:szCs w:val="21"/>
                <w:highlight w:val="auto"/>
              </w:rPr>
            </w:pPr>
            <w:r>
              <w:rPr>
                <w:rFonts w:ascii="宋体" w:cs="宋体" w:hint="eastAsia"/>
                <w:color w:val="auto"/>
                <w:szCs w:val="21"/>
                <w:highlight w:val="auto"/>
              </w:rPr>
              <w:t>投标人提供的备品备件情况，包括主要零部件及易耗件清单（规格、型号、价格）、质保期满后维护费、软件升级及其关服务内容。分值（</w:t>
            </w:r>
            <w:r>
              <w:rPr>
                <w:rFonts w:ascii="宋体" w:cs="宋体" w:hint="eastAsia"/>
                <w:color w:val="auto"/>
                <w:szCs w:val="21"/>
                <w:lang w:val="en-US" w:eastAsia="zh-CN"/>
                <w:highlight w:val="auto"/>
              </w:rPr>
              <w:t>2.3</w:t>
            </w:r>
            <w:r>
              <w:rPr>
                <w:rFonts w:ascii="宋体" w:cs="宋体" w:hint="eastAsia"/>
                <w:color w:val="auto"/>
                <w:szCs w:val="21"/>
                <w:highlight w:val="auto"/>
              </w:rPr>
              <w:t>、</w:t>
            </w:r>
            <w:r>
              <w:rPr>
                <w:rFonts w:ascii="宋体" w:cs="宋体" w:hint="eastAsia"/>
                <w:color w:val="auto"/>
                <w:szCs w:val="21"/>
                <w:lang w:val="en-US" w:eastAsia="zh-CN"/>
                <w:highlight w:val="auto"/>
              </w:rPr>
              <w:t>2.0</w:t>
            </w:r>
            <w:r>
              <w:rPr>
                <w:rFonts w:ascii="宋体" w:cs="宋体" w:hint="eastAsia"/>
                <w:color w:val="auto"/>
                <w:szCs w:val="21"/>
                <w:highlight w:val="auto"/>
              </w:rPr>
              <w:t>、1.</w:t>
            </w:r>
            <w:r>
              <w:rPr>
                <w:rFonts w:ascii="宋体" w:cs="宋体" w:hint="eastAsia"/>
                <w:color w:val="auto"/>
                <w:szCs w:val="21"/>
                <w:lang w:val="en-US" w:eastAsia="zh-CN"/>
                <w:highlight w:val="auto"/>
              </w:rPr>
              <w:t>5</w:t>
            </w:r>
            <w:r>
              <w:rPr>
                <w:rFonts w:ascii="宋体" w:cs="宋体" w:hint="eastAsia"/>
                <w:color w:val="auto"/>
                <w:szCs w:val="21"/>
                <w:highlight w:val="auto"/>
              </w:rPr>
              <w:t>、</w:t>
            </w:r>
            <w:r>
              <w:rPr>
                <w:rFonts w:ascii="宋体" w:cs="宋体" w:hint="eastAsia"/>
                <w:color w:val="auto"/>
                <w:szCs w:val="21"/>
                <w:lang w:val="en-US" w:eastAsia="zh-CN"/>
                <w:highlight w:val="auto"/>
              </w:rPr>
              <w:t>1.0、</w:t>
            </w:r>
            <w:r>
              <w:rPr>
                <w:rFonts w:ascii="宋体" w:cs="宋体" w:hint="eastAsia"/>
                <w:color w:val="auto"/>
                <w:szCs w:val="21"/>
                <w:highlight w:val="auto"/>
              </w:rPr>
              <w:t>0.5、0）。</w:t>
            </w:r>
          </w:p>
          <w:p>
            <w:pPr>
              <w:widowControl/>
              <w:spacing w:line="360" w:lineRule="auto"/>
              <w:ind w:firstLine="422"/>
              <w:jc w:val="left"/>
              <w:rPr>
                <w:rFonts w:ascii="宋体" w:cs="宋体"/>
                <w:color w:val="auto"/>
                <w:szCs w:val="21"/>
                <w:highlight w:val="auto"/>
              </w:rPr>
            </w:pPr>
            <w:r>
              <w:rPr>
                <w:rFonts w:ascii="宋体" w:cs="宋体" w:hint="eastAsia"/>
                <w:bCs/>
                <w:color w:val="auto"/>
                <w:szCs w:val="21"/>
                <w:highlight w:val="auto"/>
              </w:rPr>
              <w:t>评审依据/证明材料：</w:t>
            </w:r>
            <w:r>
              <w:rPr>
                <w:rFonts w:ascii="宋体" w:cs="宋体" w:hint="eastAsia"/>
                <w:color w:val="auto"/>
                <w:szCs w:val="21"/>
                <w:highlight w:val="auto"/>
              </w:rPr>
              <w:t>备品备件清单说明及质保期满后的服务内容。</w:t>
            </w:r>
          </w:p>
        </w:tc>
        <w:tc>
          <w:tcPr>
            <w:tcW w:w="593" w:type="pct"/>
            <w:vAlign w:val="center"/>
          </w:tcPr>
          <w:p>
            <w:pPr>
              <w:widowControl/>
              <w:spacing w:line="360" w:lineRule="auto"/>
              <w:jc w:val="left"/>
              <w:rPr>
                <w:rFonts w:ascii="宋体" w:cs="宋体"/>
                <w:bCs/>
                <w:color w:val="auto"/>
                <w:szCs w:val="21"/>
                <w:highlight w:val="auto"/>
              </w:rPr>
            </w:pPr>
            <w:r>
              <w:rPr>
                <w:rFonts w:ascii="宋体" w:cs="宋体" w:hint="eastAsia"/>
                <w:color w:val="auto"/>
                <w:kern w:val="0"/>
                <w:szCs w:val="21"/>
                <w:highlight w:val="auto"/>
              </w:rPr>
              <w:t>主观分</w:t>
            </w:r>
          </w:p>
        </w:tc>
      </w:tr>
    </w:tbl>
    <w:p>
      <w:pPr>
        <w:snapToGrid w:val="0"/>
        <w:spacing w:line="360" w:lineRule="auto"/>
        <w:ind w:firstLineChars="200" w:firstLine="420"/>
        <w:rPr>
          <w:rFonts w:ascii="宋体" w:cs="宋体"/>
          <w:color w:val="auto"/>
          <w:szCs w:val="21"/>
          <w:highlight w:val="auto"/>
        </w:rPr>
      </w:pP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2.</w:t>
      </w:r>
      <w:r>
        <w:rPr>
          <w:rFonts w:ascii="宋体" w:cs="宋体" w:hint="eastAsia"/>
          <w:b/>
          <w:bCs/>
          <w:color w:val="auto"/>
          <w:szCs w:val="21"/>
          <w:highlight w:val="auto"/>
        </w:rPr>
        <w:t>报价部分（满分30分）</w:t>
      </w:r>
      <w:r>
        <w:rPr>
          <w:rFonts w:ascii="宋体" w:cs="宋体" w:hint="eastAsia"/>
          <w:b/>
          <w:bCs/>
          <w:color w:val="auto"/>
          <w:szCs w:val="21"/>
          <w:lang w:val="en-US" w:eastAsia="zh-CN"/>
          <w:highlight w:val="auto"/>
        </w:rPr>
        <w:t>适用于</w:t>
      </w:r>
      <w:r>
        <w:rPr>
          <w:rFonts w:ascii="宋体" w:cs="宋体" w:hint="eastAsia"/>
          <w:color w:val="auto"/>
          <w:szCs w:val="21"/>
          <w:highlight w:val="auto"/>
        </w:rPr>
        <w:t>各供应商的投标报价得分统一采用低价优先法计算，即满足采购文件要求且投标报价最低的报价为评标基准价，其价格分为满分。其他供应商的商务报价得分统一按照下列公式计算：</w:t>
      </w: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投标报价得分=（评标基准价/投标报价）×价格权值（即</w:t>
      </w:r>
      <w:r>
        <w:rPr>
          <w:rFonts w:ascii="宋体" w:cs="宋体" w:hint="eastAsia"/>
          <w:color w:val="auto"/>
          <w:szCs w:val="21"/>
          <w:u w:val="single"/>
          <w:highlight w:val="auto"/>
        </w:rPr>
        <w:t>30</w:t>
      </w:r>
      <w:r>
        <w:rPr>
          <w:rFonts w:ascii="宋体" w:cs="宋体" w:hint="eastAsia"/>
          <w:color w:val="auto"/>
          <w:szCs w:val="21"/>
          <w:highlight w:val="auto"/>
        </w:rPr>
        <w:t>%）×100</w:t>
      </w:r>
    </w:p>
    <w:p>
      <w:pPr>
        <w:snapToGrid w:val="0"/>
        <w:spacing w:line="360" w:lineRule="auto"/>
        <w:ind w:firstLineChars="200" w:firstLine="420"/>
        <w:rPr>
          <w:rFonts w:ascii="宋体" w:cs="宋体"/>
          <w:color w:val="auto"/>
          <w:szCs w:val="21"/>
          <w:highlight w:val="auto"/>
        </w:rPr>
      </w:pPr>
      <w:r>
        <w:rPr>
          <w:rFonts w:ascii="宋体" w:cs="宋体" w:hint="eastAsia"/>
          <w:color w:val="auto"/>
          <w:szCs w:val="21"/>
          <w:highlight w:val="auto"/>
        </w:rPr>
        <w:t>关于价格分计算的说明：</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价格抵扣政策见前附表</w:t>
      </w:r>
      <w:r>
        <w:rPr>
          <w:rFonts w:ascii="宋体" w:cs="宋体" w:hint="eastAsia"/>
          <w:b/>
          <w:snapToGrid w:val="0"/>
          <w:color w:val="auto"/>
          <w:kern w:val="0"/>
          <w:szCs w:val="21"/>
          <w:lang w:eastAsia="zh-CN"/>
          <w:highlight w:val="auto"/>
        </w:rPr>
        <w:t>（</w:t>
      </w:r>
      <w:r>
        <w:rPr>
          <w:rFonts w:ascii="宋体" w:cs="宋体" w:hint="eastAsia"/>
          <w:b/>
          <w:snapToGrid w:val="0"/>
          <w:color w:val="auto"/>
          <w:kern w:val="0"/>
          <w:szCs w:val="21"/>
          <w:lang w:val="en-US" w:eastAsia="zh-CN"/>
          <w:highlight w:val="auto"/>
        </w:rPr>
        <w:t>如有</w:t>
      </w:r>
      <w:r>
        <w:rPr>
          <w:rFonts w:ascii="宋体" w:cs="宋体" w:hint="eastAsia"/>
          <w:b/>
          <w:snapToGrid w:val="0"/>
          <w:color w:val="auto"/>
          <w:kern w:val="0"/>
          <w:szCs w:val="21"/>
          <w:lang w:eastAsia="zh-CN"/>
          <w:highlight w:val="auto"/>
        </w:rPr>
        <w:t>）</w:t>
      </w:r>
      <w:r>
        <w:rPr>
          <w:rFonts w:ascii="宋体" w:cs="宋体" w:hint="eastAsia"/>
          <w:b/>
          <w:snapToGrid w:val="0"/>
          <w:color w:val="auto"/>
          <w:kern w:val="0"/>
          <w:szCs w:val="21"/>
          <w:highlight w:val="auto"/>
        </w:rPr>
        <w:t>。</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备注：</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技术资信部分由评标委员会详细评议后，每人一份评分表，进行独自评分并签名。在统计得分时，如发现某一单项评分超过评分细则规定的分值范围，则该张评分表无效。供应商技术资信部分的得分为评标委员会各成员的有效评分的算术平均值；</w:t>
      </w:r>
    </w:p>
    <w:p>
      <w:pPr>
        <w:adjustRightInd w:val="0"/>
        <w:snapToGrid w:val="0"/>
        <w:spacing w:line="360" w:lineRule="auto"/>
        <w:ind w:firstLineChars="225" w:firstLine="473"/>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价格部分由评标委员会详细评议后，按评分细则进行统一评分。</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技术资信评分时保留小数点后1位小数，计算评分值时保留小数点后2位小数，由评标委员会当场统一计算。</w:t>
      </w:r>
    </w:p>
    <w:p>
      <w:pPr>
        <w:adjustRightInd w:val="0"/>
        <w:snapToGrid w:val="0"/>
        <w:spacing w:line="360" w:lineRule="auto"/>
        <w:ind w:firstLineChars="200" w:firstLine="420"/>
        <w:rPr>
          <w:rFonts w:ascii="宋体" w:cs="宋体"/>
          <w:snapToGrid w:val="0"/>
          <w:color w:val="auto"/>
          <w:kern w:val="0"/>
          <w:szCs w:val="21"/>
          <w:highlight w:val="auto"/>
        </w:rPr>
      </w:pPr>
      <w:r>
        <w:rPr>
          <w:rFonts w:ascii="宋体" w:cs="宋体" w:hint="eastAsia"/>
          <w:snapToGrid w:val="0"/>
          <w:color w:val="auto"/>
          <w:kern w:val="0"/>
          <w:szCs w:val="21"/>
          <w:highlight w:val="auto"/>
        </w:rPr>
        <w:t>供应商的最终总得分为技术资信及报价部分得分的总和。</w:t>
      </w:r>
    </w:p>
    <w:p>
      <w:pPr>
        <w:tabs>
          <w:tab w:val="left" w:pos="735"/>
        </w:tabs>
        <w:adjustRightInd w:val="0"/>
        <w:snapToGrid w:val="0"/>
        <w:spacing w:line="360" w:lineRule="auto"/>
        <w:ind w:firstLineChars="200" w:firstLine="420"/>
        <w:rPr>
          <w:rFonts w:ascii="宋体" w:cs="宋体"/>
          <w:b/>
          <w:snapToGrid w:val="0"/>
          <w:color w:val="auto"/>
          <w:kern w:val="0"/>
          <w:szCs w:val="21"/>
          <w:highlight w:val="auto"/>
        </w:rPr>
      </w:pPr>
      <w:r>
        <w:rPr>
          <w:rFonts w:ascii="宋体" w:hint="eastAsia"/>
          <w:b/>
          <w:bCs/>
          <w:snapToGrid w:val="0"/>
          <w:color w:val="auto"/>
          <w:kern w:val="0"/>
          <w:szCs w:val="21"/>
          <w:highlight w:val="auto"/>
        </w:rPr>
        <w:t>单个设备</w:t>
      </w:r>
      <w:r>
        <w:rPr>
          <w:rFonts w:ascii="宋体" w:hint="eastAsia"/>
          <w:b/>
          <w:bCs/>
          <w:snapToGrid w:val="0"/>
          <w:color w:val="auto"/>
          <w:kern w:val="0"/>
          <w:szCs w:val="21"/>
          <w:lang w:val="en-US" w:eastAsia="zh-CN"/>
          <w:highlight w:val="auto"/>
        </w:rPr>
        <w:t>投标报</w:t>
      </w:r>
      <w:r>
        <w:rPr>
          <w:rFonts w:ascii="宋体" w:hint="eastAsia"/>
          <w:b/>
          <w:bCs/>
          <w:snapToGrid w:val="0"/>
          <w:color w:val="auto"/>
          <w:kern w:val="0"/>
          <w:szCs w:val="21"/>
          <w:highlight w:val="auto"/>
        </w:rPr>
        <w:t>价超过预算价的作无效标处理</w:t>
      </w:r>
      <w:r>
        <w:rPr>
          <w:rFonts w:ascii="宋体" w:cs="宋体" w:hint="eastAsia"/>
          <w:b/>
          <w:snapToGrid w:val="0"/>
          <w:color w:val="auto"/>
          <w:kern w:val="0"/>
          <w:szCs w:val="21"/>
          <w:highlight w:val="auto"/>
        </w:rPr>
        <w:t>。</w:t>
      </w:r>
    </w:p>
    <w:p>
      <w:pPr>
        <w:tabs>
          <w:tab w:val="left" w:pos="709"/>
        </w:tabs>
        <w:adjustRightInd w:val="0"/>
        <w:snapToGrid w:val="0"/>
        <w:spacing w:line="360" w:lineRule="auto"/>
        <w:ind w:firstLineChars="200" w:firstLine="420"/>
        <w:jc w:val="left"/>
        <w:rPr>
          <w:rFonts w:ascii="宋体" w:cs="宋体"/>
          <w:b/>
          <w:snapToGrid w:val="0"/>
          <w:color w:val="auto"/>
          <w:kern w:val="0"/>
          <w:szCs w:val="21"/>
          <w:highlight w:val="auto"/>
        </w:rPr>
      </w:pPr>
      <w:r>
        <w:rPr>
          <w:rFonts w:ascii="宋体" w:cs="宋体" w:hint="eastAsia"/>
          <w:b/>
          <w:snapToGrid w:val="0"/>
          <w:color w:val="auto"/>
          <w:kern w:val="0"/>
          <w:szCs w:val="21"/>
          <w:highlight w:val="auto"/>
        </w:rPr>
        <w:t>报价是中标的一个重要因素，但最低报价不是中标的唯一依据。</w:t>
      </w:r>
    </w:p>
    <w:p>
      <w:pPr>
        <w:tabs>
          <w:tab w:val="left" w:pos="709"/>
        </w:tabs>
        <w:adjustRightInd w:val="0"/>
        <w:snapToGrid w:val="0"/>
        <w:spacing w:line="360" w:lineRule="auto"/>
        <w:ind w:firstLineChars="200" w:firstLine="480"/>
        <w:jc w:val="left"/>
        <w:rPr>
          <w:rFonts w:ascii="宋体"/>
          <w:bCs/>
          <w:color w:val="auto"/>
          <w:sz w:val="24"/>
          <w:highlight w:val="auto"/>
        </w:rPr>
      </w:pPr>
    </w:p>
    <w:p>
      <w:pPr>
        <w:tabs>
          <w:tab w:val="left" w:pos="709"/>
        </w:tabs>
        <w:adjustRightInd w:val="0"/>
        <w:snapToGrid w:val="0"/>
        <w:spacing w:line="360" w:lineRule="auto"/>
        <w:ind w:firstLineChars="200" w:firstLine="480"/>
        <w:rPr>
          <w:rFonts w:ascii="宋体"/>
          <w:color w:val="auto"/>
          <w:sz w:val="24"/>
          <w:highlight w:val="auto"/>
        </w:rPr>
        <w:sectPr>
          <w:pgSz w:w="11906" w:h="16838"/>
          <w:pgMar w:top="1588" w:right="1701" w:bottom="1588" w:left="1701" w:header="851" w:footer="992" w:gutter="0"/>
          <w:docGrid w:type="linesAndChars" w:linePitch="380" w:charSpace="0"/>
        </w:sectPr>
      </w:pPr>
    </w:p>
    <w:p>
      <w:pPr>
        <w:adjustRightInd w:val="0"/>
        <w:snapToGrid w:val="0"/>
        <w:spacing w:beforeLines="50" w:before="190" w:afterLines="50" w:after="190" w:line="360" w:lineRule="auto"/>
        <w:jc w:val="center"/>
        <w:outlineLvl w:val="0"/>
        <w:rPr>
          <w:rFonts w:ascii="宋体"/>
          <w:b/>
          <w:color w:val="auto"/>
          <w:sz w:val="32"/>
          <w:szCs w:val="32"/>
          <w:highlight w:val="auto"/>
        </w:rPr>
      </w:pPr>
      <w:bookmarkStart w:id="108" w:name="_Toc13806"/>
      <w:bookmarkStart w:id="109" w:name="_Toc60757538"/>
      <w:r>
        <w:rPr>
          <w:rFonts w:ascii="宋体" w:hint="eastAsia"/>
          <w:b/>
          <w:color w:val="auto"/>
          <w:sz w:val="32"/>
          <w:szCs w:val="32"/>
          <w:highlight w:val="auto"/>
        </w:rPr>
        <w:t>第六章</w:t>
      </w:r>
      <w:r>
        <w:rPr>
          <w:rFonts w:ascii="宋体"/>
          <w:b/>
          <w:color w:val="auto"/>
          <w:sz w:val="32"/>
          <w:szCs w:val="32"/>
          <w:highlight w:val="auto"/>
        </w:rPr>
        <w:t xml:space="preserve">  </w:t>
      </w:r>
      <w:r>
        <w:rPr>
          <w:rFonts w:ascii="宋体" w:hint="eastAsia"/>
          <w:b/>
          <w:color w:val="auto"/>
          <w:sz w:val="32"/>
          <w:szCs w:val="32"/>
          <w:highlight w:val="auto"/>
        </w:rPr>
        <w:t>投标文件格式</w:t>
      </w:r>
      <w:bookmarkEnd w:id="108"/>
      <w:bookmarkEnd w:id="109"/>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hint="eastAsia"/>
          <w:color w:val="auto"/>
          <w:szCs w:val="21"/>
          <w:highlight w:val="auto"/>
        </w:rPr>
        <w:t>说明：</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1</w:t>
      </w:r>
      <w:r>
        <w:rPr>
          <w:rFonts w:ascii="宋体" w:hint="eastAsia"/>
          <w:color w:val="auto"/>
          <w:szCs w:val="21"/>
          <w:highlight w:val="auto"/>
        </w:rPr>
        <w:t>．投标文件由供应商根据照采购文件要求参照附件格式编制。</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2</w:t>
      </w:r>
      <w:r>
        <w:rPr>
          <w:rFonts w:ascii="宋体" w:hint="eastAsia"/>
          <w:color w:val="auto"/>
          <w:szCs w:val="21"/>
          <w:highlight w:val="auto"/>
        </w:rPr>
        <w:t>．供应商根据实际情况，格式的字体、编排，表格的内容可以做适当调整。</w:t>
      </w:r>
    </w:p>
    <w:p>
      <w:pPr>
        <w:tabs>
          <w:tab w:val="left" w:pos="709"/>
        </w:tabs>
        <w:adjustRightInd w:val="0"/>
        <w:snapToGrid w:val="0"/>
        <w:spacing w:line="360" w:lineRule="auto"/>
        <w:ind w:firstLineChars="200" w:firstLine="420"/>
        <w:jc w:val="left"/>
        <w:rPr>
          <w:rFonts w:ascii="宋体"/>
          <w:color w:val="auto"/>
          <w:szCs w:val="21"/>
          <w:highlight w:val="auto"/>
        </w:rPr>
      </w:pPr>
      <w:r>
        <w:rPr>
          <w:rFonts w:ascii="宋体"/>
          <w:color w:val="auto"/>
          <w:szCs w:val="21"/>
          <w:highlight w:val="auto"/>
        </w:rPr>
        <w:t>3</w:t>
      </w:r>
      <w:r>
        <w:rPr>
          <w:rFonts w:ascii="宋体" w:hint="eastAsia"/>
          <w:color w:val="auto"/>
          <w:szCs w:val="21"/>
          <w:highlight w:val="auto"/>
        </w:rPr>
        <w:t>．采购文件中没有参考格式的，供应商自行编制。</w:t>
      </w:r>
    </w:p>
    <w:p>
      <w:pPr>
        <w:tabs>
          <w:tab w:val="left" w:pos="709"/>
        </w:tabs>
        <w:adjustRightInd w:val="0"/>
        <w:snapToGrid w:val="0"/>
        <w:spacing w:line="360" w:lineRule="auto"/>
        <w:ind w:firstLineChars="200" w:firstLine="480"/>
        <w:jc w:val="left"/>
        <w:rPr>
          <w:rFonts w:ascii="宋体"/>
          <w:color w:val="auto"/>
          <w:sz w:val="24"/>
          <w:highlight w:val="auto"/>
        </w:rPr>
      </w:pPr>
    </w:p>
    <w:p>
      <w:pPr>
        <w:tabs>
          <w:tab w:val="left" w:pos="709"/>
        </w:tabs>
        <w:adjustRightInd w:val="0"/>
        <w:snapToGrid w:val="0"/>
        <w:spacing w:line="360" w:lineRule="auto"/>
        <w:ind w:firstLineChars="200" w:firstLine="480"/>
        <w:jc w:val="left"/>
        <w:rPr>
          <w:rFonts w:ascii="宋体"/>
          <w:color w:val="auto"/>
          <w:sz w:val="24"/>
          <w:highlight w:val="auto"/>
        </w:rPr>
      </w:pPr>
    </w:p>
    <w:p>
      <w:pPr>
        <w:tabs>
          <w:tab w:val="left" w:pos="709"/>
        </w:tabs>
        <w:adjustRightInd w:val="0"/>
        <w:snapToGrid w:val="0"/>
        <w:spacing w:line="360" w:lineRule="auto"/>
        <w:ind w:firstLineChars="200" w:firstLine="480"/>
        <w:jc w:val="left"/>
        <w:rPr>
          <w:rFonts w:ascii="宋体"/>
          <w:color w:val="auto"/>
          <w:sz w:val="24"/>
          <w:highlight w:val="auto"/>
        </w:rPr>
      </w:pPr>
    </w:p>
    <w:p>
      <w:pPr>
        <w:rPr>
          <w:rFonts w:ascii="宋体"/>
          <w:color w:val="auto"/>
          <w:sz w:val="24"/>
          <w:highlight w:val="auto"/>
        </w:rPr>
        <w:sectPr>
          <w:footerReference w:type="default" r:id="rId8"/>
          <w:footerReference w:type="even" r:id="rId9"/>
          <w:pgSz w:w="11906" w:h="16838"/>
          <w:pgMar w:top="1588" w:right="1701" w:bottom="1588" w:left="1701" w:header="851" w:footer="992" w:gutter="0"/>
          <w:docGrid w:type="linesAndChars" w:linePitch="380" w:charSpace="0"/>
        </w:sectPr>
      </w:pPr>
    </w:p>
    <w:p>
      <w:pPr>
        <w:pStyle w:val="2"/>
        <w:numPr>
          <w:ilvl w:val="0"/>
          <w:numId w:val="0"/>
        </w:numPr>
        <w:tabs>
          <w:tab w:val="clear" w:pos="425"/>
        </w:tabs>
        <w:adjustRightInd w:val="0"/>
        <w:snapToGrid w:val="0"/>
        <w:spacing w:beforeLines="50" w:before="190" w:after="0" w:line="360" w:lineRule="auto"/>
        <w:rPr>
          <w:rFonts w:ascii="宋体" w:eastAsia="宋体"/>
          <w:color w:val="auto"/>
          <w:sz w:val="24"/>
          <w:szCs w:val="24"/>
          <w:highlight w:val="auto"/>
        </w:rPr>
      </w:pPr>
      <w:bookmarkStart w:id="110" w:name="_Toc371002588"/>
      <w:bookmarkStart w:id="111" w:name="_Toc368993656"/>
      <w:bookmarkStart w:id="112" w:name="_Toc468296144"/>
      <w:bookmarkStart w:id="113" w:name="_Toc11406"/>
      <w:bookmarkStart w:id="114" w:name="_Toc60757539"/>
      <w:r>
        <w:rPr>
          <w:rFonts w:ascii="宋体" w:eastAsia="宋体"/>
          <w:color w:val="auto"/>
          <w:sz w:val="24"/>
          <w:szCs w:val="24"/>
          <w:highlight w:val="auto"/>
        </w:rPr>
        <w:t>6.1</w:t>
      </w:r>
      <w:r>
        <w:rPr>
          <w:rFonts w:ascii="宋体" w:eastAsia="宋体" w:hint="eastAsia"/>
          <w:color w:val="auto"/>
          <w:sz w:val="24"/>
          <w:szCs w:val="24"/>
          <w:highlight w:val="auto"/>
        </w:rPr>
        <w:t>投标文件封面</w:t>
      </w:r>
      <w:bookmarkEnd w:id="110"/>
      <w:bookmarkEnd w:id="111"/>
      <w:bookmarkEnd w:id="112"/>
      <w:bookmarkEnd w:id="113"/>
      <w:bookmarkEnd w:id="114"/>
    </w:p>
    <w:p>
      <w:pPr>
        <w:rPr>
          <w:rFonts w:ascii="宋体"/>
          <w:color w:val="auto"/>
          <w:highlight w:val="auto"/>
        </w:rPr>
      </w:pPr>
    </w:p>
    <w:p>
      <w:pPr>
        <w:rPr>
          <w:rFonts w:ascii="宋体"/>
          <w:color w:val="auto"/>
          <w:highlight w:val="auto"/>
        </w:rPr>
      </w:pPr>
    </w:p>
    <w:p>
      <w:pPr>
        <w:rPr>
          <w:rFonts w:ascii="宋体"/>
          <w:color w:val="auto"/>
          <w:highlight w:val="auto"/>
        </w:rPr>
      </w:pPr>
    </w:p>
    <w:p>
      <w:pPr>
        <w:rPr>
          <w:rFonts w:ascii="宋体"/>
          <w:color w:val="auto"/>
          <w:highlight w:val="auto"/>
        </w:rPr>
      </w:pPr>
    </w:p>
    <w:p>
      <w:pPr>
        <w:rPr>
          <w:rFonts w:ascii="宋体"/>
          <w:color w:val="auto"/>
          <w:highlight w:val="auto"/>
        </w:rPr>
      </w:pPr>
    </w:p>
    <w:p>
      <w:pPr>
        <w:spacing w:line="360" w:lineRule="auto"/>
        <w:jc w:val="center"/>
        <w:rPr>
          <w:rFonts w:ascii="宋体"/>
          <w:color w:val="auto"/>
          <w:sz w:val="24"/>
          <w:highlight w:val="auto"/>
        </w:rPr>
      </w:pPr>
      <w:r>
        <w:rPr>
          <w:rFonts w:ascii="宋体" w:hint="eastAsia"/>
          <w:color w:val="auto"/>
          <w:sz w:val="24"/>
          <w:highlight w:val="auto"/>
        </w:rPr>
        <w:t>项目名称</w:t>
      </w:r>
      <w:r>
        <w:rPr>
          <w:rFonts w:ascii="宋体"/>
          <w:color w:val="auto"/>
          <w:sz w:val="24"/>
          <w:highlight w:val="auto"/>
        </w:rPr>
        <w:t>:______________</w:t>
      </w:r>
    </w:p>
    <w:p>
      <w:pPr>
        <w:spacing w:line="360" w:lineRule="auto"/>
        <w:jc w:val="center"/>
        <w:rPr>
          <w:rFonts w:ascii="宋体"/>
          <w:color w:val="auto"/>
          <w:sz w:val="24"/>
          <w:highlight w:val="auto"/>
        </w:rPr>
      </w:pPr>
    </w:p>
    <w:p>
      <w:pPr>
        <w:jc w:val="center"/>
        <w:rPr>
          <w:rFonts w:ascii="宋体"/>
          <w:color w:val="auto"/>
          <w:sz w:val="24"/>
          <w:highlight w:val="auto"/>
        </w:rPr>
      </w:pPr>
    </w:p>
    <w:p>
      <w:pPr>
        <w:jc w:val="center"/>
        <w:rPr>
          <w:rFonts w:ascii="宋体"/>
          <w:color w:val="auto"/>
          <w:sz w:val="24"/>
          <w:highlight w:val="auto"/>
        </w:rPr>
      </w:pPr>
    </w:p>
    <w:p>
      <w:pPr>
        <w:jc w:val="center"/>
        <w:rPr>
          <w:rFonts w:ascii="宋体"/>
          <w:color w:val="auto"/>
          <w:sz w:val="52"/>
          <w:szCs w:val="52"/>
          <w:highlight w:val="auto"/>
        </w:rPr>
      </w:pPr>
    </w:p>
    <w:p>
      <w:pPr>
        <w:spacing w:after="120"/>
        <w:jc w:val="center"/>
        <w:rPr>
          <w:rFonts w:ascii="宋体" w:hint="eastAsia"/>
          <w:b/>
          <w:color w:val="auto"/>
          <w:sz w:val="52"/>
          <w:szCs w:val="52"/>
          <w:highlight w:val="auto"/>
        </w:rPr>
      </w:pPr>
      <w:r>
        <w:rPr>
          <w:rFonts w:ascii="宋体" w:hint="eastAsia"/>
          <w:b/>
          <w:color w:val="auto"/>
          <w:sz w:val="52"/>
          <w:szCs w:val="52"/>
          <w:highlight w:val="auto"/>
        </w:rPr>
        <w:t>投标文件</w:t>
      </w:r>
    </w:p>
    <w:p>
      <w:pPr>
        <w:pStyle w:val="2"/>
        <w:numPr>
          <w:ilvl w:val="0"/>
          <w:numId w:val="0"/>
        </w:numPr>
        <w:tabs>
          <w:tab w:val="clear" w:pos="425"/>
        </w:tabs>
        <w:rPr>
          <w:rFonts w:ascii="宋体" w:eastAsia="宋体" w:cs="Times New Roman" w:hint="eastAsia"/>
          <w:b/>
          <w:color w:val="auto"/>
          <w:kern w:val="2"/>
          <w:sz w:val="44"/>
          <w:szCs w:val="44"/>
          <w:lang w:val="en-US" w:eastAsia="zh-CN" w:bidi="ar-SA"/>
          <w:highlight w:val="auto"/>
        </w:rPr>
      </w:pPr>
      <w:r>
        <w:rPr>
          <w:rFonts w:ascii="宋体" w:eastAsia="宋体" w:cs="Times New Roman" w:hint="eastAsia"/>
          <w:b/>
          <w:color w:val="auto"/>
          <w:kern w:val="2"/>
          <w:sz w:val="44"/>
          <w:szCs w:val="44"/>
          <w:lang w:val="en-US" w:eastAsia="zh-CN" w:bidi="ar-SA"/>
          <w:highlight w:val="auto"/>
        </w:rPr>
        <w:t>（资格文件/商务技术文件/报价文件）</w:t>
      </w: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b/>
          <w:color w:val="auto"/>
          <w:sz w:val="24"/>
          <w:highlight w:val="auto"/>
        </w:rPr>
      </w:pPr>
    </w:p>
    <w:p>
      <w:pPr>
        <w:spacing w:after="120"/>
        <w:jc w:val="center"/>
        <w:rPr>
          <w:rFonts w:ascii="宋体"/>
          <w:color w:val="auto"/>
          <w:sz w:val="24"/>
          <w:highlight w:val="auto"/>
        </w:rPr>
      </w:pPr>
      <w:r>
        <w:rPr>
          <w:rFonts w:ascii="宋体" w:hint="eastAsia"/>
          <w:color w:val="auto"/>
          <w:sz w:val="24"/>
          <w:highlight w:val="auto"/>
        </w:rPr>
        <w:t>供应商：</w:t>
      </w:r>
      <w:r>
        <w:rPr>
          <w:rFonts w:ascii="宋体"/>
          <w:color w:val="auto"/>
          <w:sz w:val="24"/>
          <w:u w:val="single"/>
          <w:highlight w:val="auto"/>
        </w:rPr>
        <w:t xml:space="preserve">                    </w:t>
      </w:r>
      <w:r>
        <w:rPr>
          <w:rFonts w:ascii="宋体" w:hint="eastAsia"/>
          <w:color w:val="auto"/>
          <w:sz w:val="24"/>
          <w:highlight w:val="auto"/>
        </w:rPr>
        <w:t>（盖单位章）</w:t>
      </w:r>
    </w:p>
    <w:p>
      <w:pPr>
        <w:spacing w:after="120"/>
        <w:jc w:val="center"/>
        <w:rPr>
          <w:rFonts w:ascii="宋体"/>
          <w:color w:val="auto"/>
          <w:sz w:val="24"/>
          <w:u w:val="single"/>
          <w:highlight w:val="auto"/>
        </w:rPr>
      </w:pPr>
      <w:r>
        <w:rPr>
          <w:rFonts w:ascii="宋体" w:hint="eastAsia"/>
          <w:color w:val="auto"/>
          <w:sz w:val="24"/>
          <w:highlight w:val="auto"/>
        </w:rPr>
        <w:t>法定代表人或其委托代理人：</w:t>
      </w:r>
      <w:r>
        <w:rPr>
          <w:rFonts w:ascii="宋体"/>
          <w:color w:val="auto"/>
          <w:sz w:val="24"/>
          <w:u w:val="single"/>
          <w:highlight w:val="auto"/>
        </w:rPr>
        <w:t xml:space="preserve">     </w:t>
      </w:r>
      <w:r>
        <w:rPr>
          <w:rFonts w:ascii="宋体" w:hint="eastAsia"/>
          <w:color w:val="auto"/>
          <w:sz w:val="24"/>
          <w:highlight w:val="auto"/>
        </w:rPr>
        <w:t>（签字或盖章）</w:t>
      </w:r>
    </w:p>
    <w:p>
      <w:pPr>
        <w:spacing w:after="120"/>
        <w:ind w:firstLine="210"/>
        <w:jc w:val="center"/>
        <w:rPr>
          <w:rFonts w:ascii="宋体"/>
          <w:color w:val="auto"/>
          <w:sz w:val="24"/>
          <w:highlight w:val="auto"/>
        </w:rPr>
      </w:pPr>
      <w:r>
        <w:rPr>
          <w:rFonts w:ascii="宋体"/>
          <w:color w:val="auto"/>
          <w:sz w:val="24"/>
          <w:highlight w:val="auto"/>
        </w:rPr>
        <w:t xml:space="preserve">___ </w:t>
      </w:r>
      <w:r>
        <w:rPr>
          <w:rFonts w:ascii="宋体" w:hint="eastAsia"/>
          <w:color w:val="auto"/>
          <w:sz w:val="24"/>
          <w:highlight w:val="auto"/>
        </w:rPr>
        <w:t>年</w:t>
      </w:r>
      <w:r>
        <w:rPr>
          <w:rFonts w:ascii="宋体"/>
          <w:color w:val="auto"/>
          <w:sz w:val="24"/>
          <w:u w:val="single"/>
          <w:highlight w:val="auto"/>
        </w:rPr>
        <w:t xml:space="preserve">   </w:t>
      </w:r>
      <w:r>
        <w:rPr>
          <w:rFonts w:ascii="宋体" w:hint="eastAsia"/>
          <w:color w:val="auto"/>
          <w:sz w:val="24"/>
          <w:highlight w:val="auto"/>
        </w:rPr>
        <w:t>月</w:t>
      </w:r>
      <w:r>
        <w:rPr>
          <w:rFonts w:ascii="宋体"/>
          <w:color w:val="auto"/>
          <w:sz w:val="24"/>
          <w:u w:val="single"/>
          <w:highlight w:val="auto"/>
        </w:rPr>
        <w:t xml:space="preserve">   </w:t>
      </w:r>
      <w:r>
        <w:rPr>
          <w:rFonts w:ascii="宋体" w:hint="eastAsia"/>
          <w:color w:val="auto"/>
          <w:sz w:val="24"/>
          <w:highlight w:val="auto"/>
        </w:rPr>
        <w:t>日</w:t>
      </w:r>
    </w:p>
    <w:p>
      <w:pPr>
        <w:spacing w:after="120"/>
        <w:ind w:firstLine="210"/>
        <w:jc w:val="center"/>
        <w:rPr>
          <w:rFonts w:ascii="宋体"/>
          <w:color w:val="auto"/>
          <w:sz w:val="24"/>
          <w:highlight w:val="auto"/>
        </w:rPr>
      </w:pPr>
    </w:p>
    <w:p>
      <w:pPr>
        <w:rPr>
          <w:color w:val="auto"/>
          <w:highlight w:val="auto"/>
        </w:rPr>
      </w:pPr>
      <w:bookmarkStart w:id="115" w:name="_Toc107822558"/>
      <w:bookmarkStart w:id="116" w:name="_Toc371002589"/>
      <w:bookmarkStart w:id="117" w:name="_Toc488655907"/>
      <w:bookmarkStart w:id="118" w:name="_Toc227057966"/>
      <w:bookmarkStart w:id="119" w:name="_Toc226969360"/>
      <w:bookmarkStart w:id="120" w:name="_Toc368993657"/>
    </w:p>
    <w:p>
      <w:pPr>
        <w:rPr>
          <w:color w:val="auto"/>
          <w:highlight w:val="auto"/>
        </w:rPr>
        <w:sectPr>
          <w:footerReference w:type="default" r:id="rId10"/>
          <w:footerReference w:type="even" r:id="rId11"/>
          <w:pgSz w:w="11906" w:h="16838"/>
          <w:pgMar w:top="1588" w:right="1701" w:bottom="1588" w:left="1701" w:header="851" w:footer="992" w:gutter="0"/>
          <w:docGrid w:type="linesAndChars" w:linePitch="380" w:charSpace="0"/>
        </w:sectPr>
      </w:pPr>
    </w:p>
    <w:p>
      <w:pPr>
        <w:rPr>
          <w:color w:val="auto"/>
          <w:highlight w:val="auto"/>
        </w:rPr>
      </w:pPr>
    </w:p>
    <w:p>
      <w:pPr>
        <w:spacing w:line="360" w:lineRule="auto"/>
        <w:ind w:rightChars="20" w:right="42" w:firstLineChars="200" w:firstLine="420"/>
        <w:jc w:val="left"/>
        <w:rPr>
          <w:rFonts w:ascii="宋体" w:eastAsia="宋体"/>
          <w:b/>
          <w:color w:val="auto"/>
          <w:szCs w:val="21"/>
          <w:highlight w:val="auto"/>
        </w:rPr>
      </w:pPr>
      <w:bookmarkStart w:id="121" w:name="_Toc468296145"/>
      <w:bookmarkStart w:id="122" w:name="_Toc60757540"/>
      <w:bookmarkStart w:id="123" w:name="_Toc12934"/>
      <w:r>
        <w:rPr>
          <w:rFonts w:ascii="宋体" w:cs="宋体" w:hint="eastAsia"/>
          <w:b/>
          <w:bCs/>
          <w:color w:val="auto"/>
          <w:kern w:val="0"/>
          <w:szCs w:val="21"/>
          <w:lang w:val="en-US" w:eastAsia="zh-CN"/>
          <w:highlight w:val="auto"/>
        </w:rPr>
        <w:t>6.2</w:t>
      </w:r>
      <w:r>
        <w:rPr>
          <w:rFonts w:ascii="宋体" w:eastAsia="宋体"/>
          <w:color w:val="auto"/>
          <w:sz w:val="24"/>
          <w:szCs w:val="24"/>
          <w:highlight w:val="auto"/>
        </w:rPr>
        <w:t xml:space="preserve"> </w:t>
      </w:r>
      <w:r>
        <w:rPr>
          <w:rFonts w:ascii="宋体" w:hint="eastAsia"/>
          <w:color w:val="auto"/>
          <w:sz w:val="24"/>
          <w:szCs w:val="24"/>
          <w:lang w:val="en-US" w:eastAsia="zh-CN"/>
          <w:highlight w:val="auto"/>
        </w:rPr>
        <w:t xml:space="preserve">                           </w:t>
      </w:r>
      <w:r>
        <w:rPr>
          <w:rFonts w:ascii="宋体" w:cs="宋体" w:hint="eastAsia"/>
          <w:b/>
          <w:bCs/>
          <w:color w:val="auto"/>
          <w:kern w:val="0"/>
          <w:szCs w:val="21"/>
          <w:lang w:val="en-US" w:eastAsia="zh-CN"/>
          <w:highlight w:val="auto"/>
        </w:rPr>
        <w:t xml:space="preserve">   </w:t>
      </w:r>
      <w:r>
        <w:rPr>
          <w:rFonts w:ascii="宋体" w:cs="宋体" w:hint="eastAsia"/>
          <w:b/>
          <w:bCs/>
          <w:color w:val="auto"/>
          <w:kern w:val="0"/>
          <w:szCs w:val="21"/>
          <w:highlight w:val="auto"/>
        </w:rPr>
        <w:t>承诺函</w:t>
      </w:r>
    </w:p>
    <w:p>
      <w:pPr>
        <w:snapToGrid w:val="0"/>
        <w:spacing w:line="360" w:lineRule="auto"/>
        <w:ind w:rightChars="20" w:right="42" w:firstLineChars="200" w:firstLine="420"/>
        <w:rPr>
          <w:rFonts w:ascii="宋体" w:eastAsia="宋体"/>
          <w:b/>
          <w:color w:val="auto"/>
          <w:highlight w:val="auto"/>
        </w:rPr>
      </w:pPr>
      <w:r>
        <w:rPr>
          <w:rFonts w:ascii="宋体" w:eastAsia="宋体" w:hint="eastAsia"/>
          <w:b/>
          <w:color w:val="auto"/>
          <w:highlight w:val="auto"/>
        </w:rPr>
        <w:t>嘉兴海关综合技术服务中心：</w:t>
      </w:r>
    </w:p>
    <w:p>
      <w:pPr>
        <w:snapToGrid w:val="0"/>
        <w:spacing w:line="360" w:lineRule="auto"/>
        <w:ind w:rightChars="20" w:right="42" w:firstLineChars="200" w:firstLine="420"/>
        <w:jc w:val="left"/>
        <w:rPr>
          <w:rFonts w:ascii="宋体" w:eastAsia="宋体"/>
          <w:color w:val="auto"/>
          <w:szCs w:val="21"/>
          <w:shd w:val="clear" w:color="auto" w:fill="FFFFFF"/>
          <w:highlight w:val="auto"/>
        </w:rPr>
      </w:pPr>
    </w:p>
    <w:p>
      <w:pPr>
        <w:snapToGrid w:val="0"/>
        <w:spacing w:line="360" w:lineRule="auto"/>
        <w:ind w:rightChars="20" w:right="42" w:firstLineChars="200" w:firstLine="420"/>
        <w:jc w:val="left"/>
        <w:rPr>
          <w:rFonts w:ascii="宋体" w:eastAsia="宋体" w:cs="Times New Roman" w:hint="eastAsia"/>
          <w:color w:val="auto"/>
          <w:szCs w:val="21"/>
          <w:highlight w:val="auto"/>
        </w:rPr>
      </w:pPr>
      <w:r>
        <w:rPr>
          <w:rFonts w:ascii="宋体" w:eastAsia="宋体" w:hint="eastAsia"/>
          <w:color w:val="auto"/>
          <w:szCs w:val="21"/>
          <w:highlight w:val="auto"/>
        </w:rPr>
        <w:t>本公司（公司名称）参加</w:t>
      </w:r>
      <w:r>
        <w:rPr>
          <w:rFonts w:ascii="宋体" w:eastAsia="宋体" w:hint="eastAsia"/>
          <w:color w:val="auto"/>
          <w:szCs w:val="21"/>
          <w:u w:val="single"/>
          <w:lang w:eastAsia="zh-CN"/>
          <w:highlight w:val="auto"/>
        </w:rPr>
        <w:t>嘉兴海关综合技术服务中心2025年实验室仪器设备更新项目（二）</w:t>
      </w:r>
      <w:r>
        <w:rPr>
          <w:rFonts w:ascii="宋体" w:eastAsia="宋体" w:hint="eastAsia"/>
          <w:color w:val="auto"/>
          <w:szCs w:val="21"/>
          <w:highlight w:val="auto"/>
        </w:rPr>
        <w:t>投标活动，现承诺如下：</w:t>
        <w:br/>
        <w:br/>
      </w:r>
      <w:r>
        <w:rPr>
          <w:rFonts w:ascii="宋体" w:eastAsia="宋体" w:cs="Times New Roman" w:hint="eastAsia"/>
          <w:color w:val="auto"/>
          <w:szCs w:val="21"/>
          <w:lang w:val="en-US" w:eastAsia="zh-CN"/>
          <w:highlight w:val="auto"/>
        </w:rPr>
        <w:t xml:space="preserve">    </w:t>
      </w:r>
      <w:r>
        <w:rPr>
          <w:rFonts w:ascii="宋体" w:eastAsia="宋体" w:cs="Times New Roman"/>
          <w:color w:val="auto"/>
          <w:szCs w:val="21"/>
          <w:lang w:val="en-US" w:eastAsia="zh-CN"/>
          <w:highlight w:val="auto"/>
        </w:rPr>
        <w:t>（一）具有独立承担民事责任的能力；</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（二）具有良好的商业信誉和健全的财务会计制度；</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（三）具有履行合同所必需的设备和专业技术能力；</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（四）有依法缴纳税收和社会保障资金的良好记录；</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（五）参加政府采购活动前三年内，在经营活动中没有重大违法记录；</w:t>
      </w:r>
    </w:p>
    <w:p>
      <w:pPr>
        <w:snapToGrid w:val="0"/>
        <w:spacing w:line="360" w:lineRule="auto"/>
        <w:ind w:rightChars="20" w:right="42" w:firstLineChars="200" w:firstLine="420"/>
        <w:jc w:val="left"/>
        <w:rPr>
          <w:rFonts w:ascii="宋体" w:eastAsia="宋体" w:cs="Times New Roman"/>
          <w:color w:val="auto"/>
          <w:szCs w:val="21"/>
          <w:highlight w:val="auto"/>
        </w:rPr>
      </w:pPr>
      <w:r>
        <w:rPr>
          <w:rFonts w:ascii="宋体" w:eastAsia="宋体" w:cs="Times New Roman"/>
          <w:color w:val="auto"/>
          <w:szCs w:val="21"/>
          <w:lang w:val="en-US" w:eastAsia="zh-CN"/>
          <w:highlight w:val="auto"/>
        </w:rPr>
        <w:t>（六）法律、行政法规规定的其他条件。</w:t>
      </w:r>
    </w:p>
    <w:p>
      <w:pPr>
        <w:snapToGrid w:val="0"/>
        <w:spacing w:line="360" w:lineRule="auto"/>
        <w:ind w:rightChars="20" w:right="42"/>
        <w:jc w:val="left"/>
        <w:rPr>
          <w:b/>
          <w:bCs/>
          <w:color w:val="auto"/>
          <w:sz w:val="21"/>
          <w:szCs w:val="21"/>
          <w:highlight w:val="auto"/>
        </w:rPr>
      </w:pPr>
    </w:p>
    <w:p>
      <w:pPr>
        <w:snapToGrid w:val="0"/>
        <w:spacing w:line="360" w:lineRule="auto"/>
        <w:ind w:rightChars="20" w:right="42" w:firstLineChars="200" w:firstLine="420"/>
        <w:jc w:val="left"/>
        <w:rPr>
          <w:rFonts w:ascii="宋体" w:eastAsia="宋体"/>
          <w:color w:val="auto"/>
          <w:szCs w:val="21"/>
          <w:u w:val="single"/>
          <w:highlight w:val="auto"/>
        </w:rPr>
      </w:pPr>
      <w:r>
        <w:rPr>
          <w:rFonts w:ascii="宋体" w:eastAsia="宋体" w:hint="eastAsia"/>
          <w:color w:val="auto"/>
          <w:szCs w:val="21"/>
          <w:highlight w:val="auto"/>
        </w:rPr>
        <w:br/>
        <w:br/>
      </w:r>
      <w:r>
        <w:rPr>
          <w:rFonts w:ascii="宋体" w:eastAsia="宋体" w:hint="eastAsia"/>
          <w:color w:val="auto"/>
          <w:szCs w:val="21"/>
          <w:shd w:val="clear" w:color="auto" w:fill="FFFFFF"/>
          <w:highlight w:val="auto"/>
        </w:rPr>
        <w:t>如违反以上承诺，本公司愿承担一切法律责任。</w:t>
      </w:r>
      <w:r>
        <w:rPr>
          <w:rFonts w:ascii="宋体" w:eastAsia="宋体" w:hint="eastAsia"/>
          <w:color w:val="auto"/>
          <w:szCs w:val="21"/>
          <w:highlight w:val="auto"/>
        </w:rPr>
        <w:br/>
        <w:br/>
        <w:br/>
        <w:br/>
      </w:r>
      <w:r>
        <w:rPr>
          <w:rFonts w:ascii="微软雅黑" w:hAnsi="微软雅黑" w:hint="eastAsia"/>
          <w:color w:val="auto"/>
          <w:szCs w:val="21"/>
          <w:highlight w:val="auto"/>
        </w:rPr>
        <w:t xml:space="preserve">  </w:t>
      </w:r>
      <w:r>
        <w:rPr>
          <w:rFonts w:ascii="宋体" w:hint="eastAsia"/>
          <w:color w:val="auto"/>
          <w:szCs w:val="21"/>
          <w:shd w:val="clear" w:color="auto" w:fill="FFFFFF"/>
          <w:highlight w:val="auto"/>
        </w:rPr>
        <w:t>投标人名称：（盖章）</w:t>
      </w:r>
      <w:r>
        <w:rPr>
          <w:rFonts w:ascii="宋体" w:eastAsia="宋体" w:hint="eastAsia"/>
          <w:color w:val="auto"/>
          <w:szCs w:val="21"/>
          <w:highlight w:val="auto"/>
        </w:rPr>
        <w:br/>
        <w:br/>
        <w:t>法定代表人或其授权代表签字（或盖章）</w:t>
      </w:r>
      <w:r>
        <w:rPr>
          <w:rFonts w:ascii="宋体" w:eastAsia="宋体" w:hint="eastAsia"/>
          <w:color w:val="auto"/>
          <w:szCs w:val="21"/>
          <w:shd w:val="clear" w:color="auto" w:fill="FFFFFF"/>
          <w:highlight w:val="auto"/>
        </w:rPr>
        <w:t>：</w:t>
      </w:r>
      <w:r>
        <w:rPr>
          <w:rFonts w:ascii="宋体" w:eastAsia="宋体" w:hint="eastAsia"/>
          <w:color w:val="auto"/>
          <w:szCs w:val="21"/>
          <w:highlight w:val="auto"/>
        </w:rPr>
        <w:br/>
        <w:br/>
      </w:r>
      <w:r>
        <w:rPr>
          <w:rFonts w:ascii="宋体" w:eastAsia="宋体" w:hint="eastAsia"/>
          <w:color w:val="auto"/>
          <w:szCs w:val="21"/>
          <w:shd w:val="clear" w:color="auto" w:fill="FFFFFF"/>
          <w:highlight w:val="auto"/>
        </w:rPr>
        <w:t>投标日期： 年 月 日</w:t>
      </w: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auto"/>
          <w:sz w:val="24"/>
          <w:szCs w:val="24"/>
          <w:lang w:val="en-US" w:eastAsia="zh-CN"/>
          <w:highlight w:val="auto"/>
        </w:rPr>
      </w:pPr>
    </w:p>
    <w:p>
      <w:pPr>
        <w:tabs>
          <w:tab w:val="left" w:pos="720"/>
        </w:tabs>
        <w:adjustRightInd w:val="0"/>
        <w:snapToGrid w:val="0"/>
        <w:spacing w:line="360" w:lineRule="auto"/>
        <w:ind w:firstLineChars="200" w:firstLine="396"/>
        <w:jc w:val="left"/>
        <w:rPr>
          <w:rFonts w:ascii="宋体" w:eastAsia="宋体" w:cs="宋体" w:hint="eastAsia"/>
          <w:b/>
          <w:bCs/>
          <w:color w:val="auto"/>
          <w:kern w:val="0"/>
          <w:sz w:val="21"/>
          <w:szCs w:val="21"/>
          <w:lang w:val="en-US" w:eastAsia="zh-CN" w:bidi="ar-SA"/>
          <w:highlight w:val="auto"/>
        </w:rPr>
      </w:pPr>
      <w:r>
        <w:rPr>
          <w:rFonts w:hint="eastAsia"/>
          <w:b/>
          <w:color w:val="auto"/>
          <w:spacing w:val="-6"/>
          <w:szCs w:val="21"/>
          <w:lang w:val="en-US" w:eastAsia="zh-CN"/>
          <w:highlight w:val="auto"/>
        </w:rPr>
        <w:t>6.3</w:t>
      </w:r>
      <w:r>
        <w:rPr>
          <w:rFonts w:hint="eastAsia"/>
          <w:b/>
          <w:color w:val="auto"/>
          <w:spacing w:val="-6"/>
          <w:szCs w:val="21"/>
          <w:highlight w:val="auto"/>
        </w:rPr>
        <w:t>未</w:t>
      </w:r>
      <w:r>
        <w:rPr>
          <w:rFonts w:ascii="宋体" w:cs="宋体" w:hint="eastAsia"/>
          <w:b/>
          <w:bCs/>
          <w:color w:val="auto"/>
          <w:kern w:val="0"/>
          <w:szCs w:val="21"/>
          <w:highlight w:val="auto"/>
        </w:rPr>
        <w:t>被“信用中国”（www.creditchina.gov.cn)、中国政府采购网（www.ccgp.gov.cn）列入失信被执行人、重大税收违法失信主体、政府采购严重违法失信行为记录名单</w:t>
      </w:r>
      <w:r>
        <w:rPr>
          <w:rFonts w:ascii="宋体" w:cs="宋体" w:hint="eastAsia"/>
          <w:b/>
          <w:snapToGrid w:val="0"/>
          <w:color w:val="auto"/>
          <w:kern w:val="0"/>
          <w:szCs w:val="21"/>
          <w:highlight w:val="auto"/>
        </w:rPr>
        <w:t>（提供网站截图）</w:t>
      </w:r>
      <w:r>
        <w:rPr>
          <w:rFonts w:hint="eastAsia"/>
          <w:b/>
          <w:color w:val="auto"/>
          <w:spacing w:val="-6"/>
          <w:szCs w:val="21"/>
          <w:highlight w:val="auto"/>
        </w:rPr>
        <w:t>。（代理机构以开标当日在“信用中国”网站（</w:t>
      </w:r>
      <w:r>
        <w:rPr>
          <w:b/>
          <w:color w:val="auto"/>
          <w:spacing w:val="-6"/>
          <w:szCs w:val="21"/>
          <w:highlight w:val="auto"/>
        </w:rPr>
        <w:t>www.creditchina.gov.cn</w:t>
      </w:r>
      <w:r>
        <w:rPr>
          <w:rFonts w:hint="eastAsia"/>
          <w:b/>
          <w:color w:val="auto"/>
          <w:spacing w:val="-6"/>
          <w:szCs w:val="21"/>
          <w:highlight w:val="auto"/>
        </w:rPr>
        <w:t>）、中国政府采购网（</w:t>
      </w:r>
      <w:r>
        <w:rPr>
          <w:b/>
          <w:color w:val="auto"/>
          <w:spacing w:val="-6"/>
          <w:szCs w:val="21"/>
          <w:highlight w:val="auto"/>
        </w:rPr>
        <w:t>www.ccgp.gov.cn</w:t>
      </w:r>
      <w:r>
        <w:rPr>
          <w:rFonts w:hint="eastAsia"/>
          <w:b/>
          <w:color w:val="auto"/>
          <w:spacing w:val="-6"/>
          <w:szCs w:val="21"/>
          <w:highlight w:val="auto"/>
        </w:rPr>
        <w:t>）网页查询记录为准）</w:t>
      </w:r>
      <w:r>
        <w:rPr>
          <w:rFonts w:ascii="宋体" w:eastAsia="宋体" w:cs="宋体" w:hint="eastAsia"/>
          <w:b/>
          <w:bCs/>
          <w:color w:val="auto"/>
          <w:kern w:val="0"/>
          <w:sz w:val="21"/>
          <w:szCs w:val="21"/>
          <w:lang w:val="en-US" w:eastAsia="zh-CN" w:bidi="ar-SA"/>
          <w:highlight w:val="auto"/>
        </w:rPr>
        <w:t>对列入失信被执行人、重大税收违法失信主体、政府采购严重违法失信行为记录名单的供应商，其投标将作无效标处理。</w:t>
      </w: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r>
        <w:rPr>
          <w:rFonts w:ascii="宋体" w:cs="宋体"/>
          <w:b/>
          <w:color w:val="auto"/>
          <w:szCs w:val="21"/>
          <w:highlight w:val="auto"/>
        </w:rPr>
        <w:t>6.</w:t>
      </w:r>
      <w:r>
        <w:rPr>
          <w:rFonts w:ascii="宋体" w:cs="宋体" w:hint="eastAsia"/>
          <w:b/>
          <w:color w:val="auto"/>
          <w:szCs w:val="21"/>
          <w:lang w:val="en-US" w:eastAsia="zh-CN"/>
          <w:highlight w:val="auto"/>
        </w:rPr>
        <w:t>4中</w:t>
      </w:r>
      <w:r>
        <w:rPr>
          <w:rFonts w:ascii="宋体" w:cs="宋体" w:hint="eastAsia"/>
          <w:b/>
          <w:color w:val="auto"/>
          <w:szCs w:val="21"/>
          <w:highlight w:val="auto"/>
        </w:rPr>
        <w:t>小企业声明函</w:t>
      </w:r>
    </w:p>
    <w:p>
      <w:pPr>
        <w:pStyle w:val="24"/>
        <w:spacing w:line="600" w:lineRule="exact"/>
        <w:jc w:val="center"/>
        <w:rPr>
          <w:rFonts w:ascii="宋体" w:eastAsia="宋体" w:cs="宋体"/>
          <w:b/>
          <w:bCs/>
          <w:color w:val="auto"/>
          <w:sz w:val="21"/>
          <w:szCs w:val="21"/>
          <w:highlight w:val="auto"/>
        </w:rPr>
      </w:pPr>
      <w:r>
        <w:rPr>
          <w:rFonts w:ascii="宋体" w:eastAsia="宋体" w:cs="宋体" w:hint="eastAsia"/>
          <w:b/>
          <w:bCs/>
          <w:color w:val="auto"/>
          <w:sz w:val="21"/>
          <w:szCs w:val="21"/>
          <w:highlight w:val="auto"/>
        </w:rPr>
        <w:t>中小企业声明函（货物）</w:t>
      </w:r>
    </w:p>
    <w:p>
      <w:pPr>
        <w:pStyle w:val="21"/>
        <w:rPr>
          <w:rFonts w:ascii="宋体"/>
          <w:b/>
          <w:color w:val="auto"/>
          <w:sz w:val="21"/>
          <w:szCs w:val="21"/>
          <w:highlight w:val="auto"/>
        </w:rPr>
      </w:pPr>
    </w:p>
    <w:p>
      <w:pPr>
        <w:pStyle w:val="21"/>
        <w:spacing w:before="2"/>
        <w:rPr>
          <w:rFonts w:ascii="宋体"/>
          <w:b/>
          <w:color w:val="auto"/>
          <w:sz w:val="21"/>
          <w:szCs w:val="21"/>
          <w:highlight w:val="auto"/>
        </w:rPr>
      </w:pPr>
    </w:p>
    <w:p>
      <w:pPr>
        <w:pStyle w:val="21"/>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本公司（联合体）郑重声明，根据《政府采购促进中小企业发展管理办法》（财库﹝</w:t>
      </w:r>
      <w:r>
        <w:rPr>
          <w:rFonts w:ascii="宋体"/>
          <w:color w:val="auto"/>
          <w:sz w:val="21"/>
          <w:szCs w:val="21"/>
          <w:highlight w:val="auto"/>
        </w:rPr>
        <w:t>2020</w:t>
      </w:r>
      <w:r>
        <w:rPr>
          <w:rFonts w:ascii="宋体" w:hint="eastAsia"/>
          <w:color w:val="auto"/>
          <w:sz w:val="21"/>
          <w:szCs w:val="21"/>
          <w:highlight w:val="auto"/>
        </w:rPr>
        <w:t>﹞</w:t>
      </w:r>
      <w:r>
        <w:rPr>
          <w:rFonts w:ascii="宋体"/>
          <w:color w:val="auto"/>
          <w:sz w:val="21"/>
          <w:szCs w:val="21"/>
          <w:highlight w:val="auto"/>
        </w:rPr>
        <w:t xml:space="preserve">46 </w:t>
      </w:r>
      <w:r>
        <w:rPr>
          <w:rFonts w:ascii="宋体" w:hint="eastAsia"/>
          <w:color w:val="auto"/>
          <w:sz w:val="21"/>
          <w:szCs w:val="21"/>
          <w:highlight w:val="auto"/>
        </w:rPr>
        <w:t>号）的规定，本公司（联合体）参加</w:t>
      </w:r>
      <w:r>
        <w:rPr>
          <w:rFonts w:ascii="宋体" w:hint="eastAsia"/>
          <w:color w:val="auto"/>
          <w:sz w:val="21"/>
          <w:szCs w:val="21"/>
          <w:u w:val="single"/>
          <w:highlight w:val="auto"/>
        </w:rPr>
        <w:t>（单位名称）</w:t>
      </w:r>
      <w:r>
        <w:rPr>
          <w:rFonts w:ascii="宋体" w:hint="eastAsia"/>
          <w:color w:val="auto"/>
          <w:sz w:val="21"/>
          <w:szCs w:val="21"/>
          <w:highlight w:val="auto"/>
        </w:rPr>
        <w:t>的</w:t>
      </w:r>
      <w:r>
        <w:rPr>
          <w:rFonts w:ascii="宋体" w:hint="eastAsia"/>
          <w:color w:val="auto"/>
          <w:sz w:val="21"/>
          <w:szCs w:val="21"/>
          <w:u w:val="single"/>
          <w:highlight w:val="auto"/>
        </w:rPr>
        <w:t>（项目名称）</w:t>
      </w:r>
      <w:r>
        <w:rPr>
          <w:rFonts w:ascii="宋体" w:hint="eastAsia"/>
          <w:color w:val="auto"/>
          <w:sz w:val="21"/>
          <w:szCs w:val="21"/>
          <w:highlight w:val="auto"/>
        </w:rPr>
        <w:t>采购活动，</w:t>
      </w:r>
      <w:r>
        <w:rPr>
          <w:rFonts w:ascii="宋体" w:hint="eastAsia"/>
          <w:b/>
          <w:bCs/>
          <w:color w:val="auto"/>
          <w:sz w:val="21"/>
          <w:szCs w:val="21"/>
          <w:highlight w:val="auto"/>
        </w:rPr>
        <w:t>提</w:t>
      </w:r>
      <w:r>
        <w:rPr>
          <w:rFonts w:ascii="宋体" w:hint="eastAsia"/>
          <w:b/>
          <w:bCs/>
          <w:color w:val="auto"/>
          <w:w w:val="95"/>
          <w:sz w:val="21"/>
          <w:szCs w:val="21"/>
          <w:highlight w:val="auto"/>
        </w:rPr>
        <w:t>供的货物全部由符合政策要求的中小企业制造。</w:t>
      </w:r>
      <w:r>
        <w:rPr>
          <w:rFonts w:ascii="宋体" w:hint="eastAsia"/>
          <w:color w:val="auto"/>
          <w:w w:val="95"/>
          <w:sz w:val="21"/>
          <w:szCs w:val="21"/>
          <w:highlight w:val="auto"/>
        </w:rPr>
        <w:t>相关企业</w:t>
      </w:r>
      <w:r>
        <w:rPr>
          <w:rFonts w:ascii="宋体" w:hint="eastAsia"/>
          <w:color w:val="auto"/>
          <w:sz w:val="21"/>
          <w:szCs w:val="21"/>
          <w:highlight w:val="auto"/>
        </w:rPr>
        <w:t>（含联合体中的中小企业、签订分包意向协议的中小企业）的具体情况如下：</w:t>
      </w:r>
    </w:p>
    <w:p>
      <w:pPr>
        <w:pStyle w:val="85"/>
        <w:tabs>
          <w:tab w:val="left" w:pos="1183"/>
          <w:tab w:val="left" w:pos="1484"/>
          <w:tab w:val="left" w:pos="4662"/>
          <w:tab w:val="left" w:pos="6903"/>
        </w:tabs>
        <w:autoSpaceDE w:val="0"/>
        <w:autoSpaceDN w:val="0"/>
        <w:spacing w:line="360" w:lineRule="auto"/>
        <w:ind w:rightChars="-31" w:right="-65" w:firstLineChars="178" w:firstLine="374"/>
        <w:jc w:val="left"/>
        <w:rPr>
          <w:rFonts w:ascii="宋体"/>
          <w:color w:val="auto"/>
          <w:szCs w:val="21"/>
          <w:highlight w:val="auto"/>
        </w:rPr>
      </w:pPr>
      <w:r>
        <w:rPr>
          <w:rFonts w:ascii="宋体"/>
          <w:iCs/>
          <w:color w:val="auto"/>
          <w:szCs w:val="21"/>
          <w:highlight w:val="auto"/>
        </w:rPr>
        <w:t>1.</w:t>
      </w:r>
      <w:r>
        <w:rPr>
          <w:rFonts w:ascii="宋体" w:hint="eastAsia"/>
          <w:color w:val="auto"/>
          <w:szCs w:val="21"/>
          <w:u w:val="single"/>
          <w:highlight w:val="auto"/>
        </w:rPr>
        <w:t>（标的名称）</w:t>
      </w:r>
      <w:r>
        <w:rPr>
          <w:rFonts w:ascii="宋体" w:hint="eastAsia"/>
          <w:color w:val="auto"/>
          <w:szCs w:val="21"/>
          <w:highlight w:val="auto"/>
        </w:rPr>
        <w:t>，属于（</w:t>
      </w:r>
      <w:r>
        <w:rPr>
          <w:rFonts w:ascii="宋体" w:hint="eastAsia"/>
          <w:color w:val="auto"/>
          <w:szCs w:val="21"/>
          <w:u w:val="single"/>
          <w:highlight w:val="auto"/>
        </w:rPr>
        <w:t>采购文件中明确的所属行业）</w:t>
      </w:r>
      <w:r>
        <w:rPr>
          <w:rFonts w:ascii="宋体" w:hint="eastAsia"/>
          <w:color w:val="auto"/>
          <w:w w:val="96"/>
          <w:szCs w:val="21"/>
          <w:u w:val="single"/>
          <w:highlight w:val="auto"/>
        </w:rPr>
        <w:t>行业</w:t>
      </w:r>
      <w:r>
        <w:rPr>
          <w:rFonts w:ascii="宋体" w:hint="eastAsia"/>
          <w:color w:val="auto"/>
          <w:w w:val="99"/>
          <w:szCs w:val="21"/>
          <w:highlight w:val="auto"/>
        </w:rPr>
        <w:t>；制造商为</w:t>
      </w:r>
      <w:r>
        <w:rPr>
          <w:rFonts w:ascii="宋体" w:hint="eastAsia"/>
          <w:color w:val="auto"/>
          <w:w w:val="96"/>
          <w:szCs w:val="21"/>
          <w:u w:val="single"/>
          <w:highlight w:val="auto"/>
        </w:rPr>
        <w:t>（企业名称）</w:t>
      </w:r>
      <w:r>
        <w:rPr>
          <w:rFonts w:ascii="宋体" w:hint="eastAsia"/>
          <w:color w:val="auto"/>
          <w:w w:val="99"/>
          <w:szCs w:val="21"/>
          <w:highlight w:val="auto"/>
        </w:rPr>
        <w:t>，从业人员</w:t>
      </w:r>
      <w:r>
        <w:rPr>
          <w:rFonts w:ascii="宋体"/>
          <w:color w:val="auto"/>
          <w:w w:val="99"/>
          <w:szCs w:val="21"/>
          <w:u w:val="single"/>
          <w:highlight w:val="auto"/>
        </w:rPr>
        <w:t xml:space="preserve">      </w:t>
      </w:r>
      <w:r>
        <w:rPr>
          <w:rFonts w:ascii="宋体" w:hint="eastAsia"/>
          <w:color w:val="auto"/>
          <w:w w:val="99"/>
          <w:szCs w:val="21"/>
          <w:highlight w:val="auto"/>
        </w:rPr>
        <w:t>人，营业收</w:t>
      </w:r>
      <w:r>
        <w:rPr>
          <w:rFonts w:ascii="宋体" w:hint="eastAsia"/>
          <w:color w:val="auto"/>
          <w:szCs w:val="21"/>
          <w:highlight w:val="auto"/>
        </w:rPr>
        <w:t>入为</w:t>
      </w:r>
      <w:r>
        <w:rPr>
          <w:rFonts w:ascii="宋体"/>
          <w:color w:val="auto"/>
          <w:szCs w:val="21"/>
          <w:u w:val="single"/>
          <w:highlight w:val="auto"/>
        </w:rPr>
        <w:t xml:space="preserve">        </w:t>
      </w:r>
      <w:r>
        <w:rPr>
          <w:rFonts w:ascii="宋体" w:hint="eastAsia"/>
          <w:color w:val="auto"/>
          <w:szCs w:val="21"/>
          <w:highlight w:val="auto"/>
        </w:rPr>
        <w:t>万元，资产总额为</w:t>
      </w:r>
      <w:r>
        <w:rPr>
          <w:rFonts w:ascii="宋体"/>
          <w:color w:val="auto"/>
          <w:szCs w:val="21"/>
          <w:u w:val="single"/>
          <w:highlight w:val="auto"/>
        </w:rPr>
        <w:t xml:space="preserve">  </w:t>
        <w:tab/>
        <w:t xml:space="preserve"> </w:t>
      </w:r>
      <w:r>
        <w:rPr>
          <w:rFonts w:ascii="宋体" w:hint="eastAsia"/>
          <w:color w:val="auto"/>
          <w:szCs w:val="21"/>
          <w:highlight w:val="auto"/>
        </w:rPr>
        <w:t>万元</w:t>
      </w:r>
      <w:r>
        <w:rPr>
          <w:rFonts w:ascii="宋体"/>
          <w:color w:val="auto"/>
          <w:szCs w:val="21"/>
          <w:vertAlign w:val="superscript"/>
          <w:highlight w:val="auto"/>
        </w:rPr>
        <w:fldChar w:fldCharType="begin"/>
      </w:r>
      <w:r>
        <w:instrText>HYPERLINK  \l "_bookmark0"</w:instrText>
      </w:r>
      <w:r>
        <w:rPr>
          <w:rFonts w:ascii="宋体"/>
          <w:color w:val="auto"/>
          <w:szCs w:val="21"/>
          <w:vertAlign w:val="superscript"/>
          <w:highlight w:val="auto"/>
        </w:rPr>
        <w:fldChar w:fldCharType="separate"/>
      </w:r>
      <w:r>
        <w:rPr>
          <w:rFonts w:ascii="宋体"/>
          <w:color w:val="auto"/>
          <w:szCs w:val="21"/>
          <w:vertAlign w:val="superscript"/>
          <w:highlight w:val="auto"/>
        </w:rPr>
        <w:t>1</w:t>
      </w:r>
      <w:r>
        <w:rPr>
          <w:rFonts w:ascii="宋体"/>
          <w:color w:val="auto"/>
          <w:szCs w:val="21"/>
          <w:vertAlign w:val="superscript"/>
          <w:highlight w:val="auto"/>
        </w:rPr>
        <w:fldChar w:fldCharType="end"/>
      </w:r>
      <w:r>
        <w:rPr>
          <w:rFonts w:ascii="宋体" w:hint="eastAsia"/>
          <w:color w:val="auto"/>
          <w:szCs w:val="21"/>
          <w:highlight w:val="auto"/>
        </w:rPr>
        <w:t>，属于</w:t>
      </w:r>
      <w:r>
        <w:rPr>
          <w:rFonts w:ascii="宋体" w:hint="eastAsia"/>
          <w:color w:val="auto"/>
          <w:szCs w:val="21"/>
          <w:u w:val="single"/>
          <w:highlight w:val="auto"/>
        </w:rPr>
        <w:t>（中型企业、小</w:t>
      </w:r>
      <w:r>
        <w:rPr>
          <w:rFonts w:ascii="宋体" w:hint="eastAsia"/>
          <w:color w:val="auto"/>
          <w:w w:val="96"/>
          <w:szCs w:val="21"/>
          <w:u w:val="single"/>
          <w:highlight w:val="auto"/>
        </w:rPr>
        <w:t>型企业、微型企业）</w:t>
      </w:r>
      <w:r>
        <w:rPr>
          <w:rFonts w:ascii="宋体" w:hint="eastAsia"/>
          <w:color w:val="auto"/>
          <w:w w:val="99"/>
          <w:szCs w:val="21"/>
          <w:highlight w:val="auto"/>
        </w:rPr>
        <w:t>；</w:t>
      </w:r>
    </w:p>
    <w:p>
      <w:pPr>
        <w:pStyle w:val="85"/>
        <w:tabs>
          <w:tab w:val="left" w:pos="1183"/>
          <w:tab w:val="left" w:pos="4362"/>
          <w:tab w:val="left" w:pos="6577"/>
        </w:tabs>
        <w:autoSpaceDE w:val="0"/>
        <w:autoSpaceDN w:val="0"/>
        <w:spacing w:line="360" w:lineRule="auto"/>
        <w:ind w:rightChars="-31" w:right="-65" w:firstLineChars="178" w:firstLine="374"/>
        <w:jc w:val="left"/>
        <w:rPr>
          <w:rFonts w:ascii="宋体"/>
          <w:color w:val="auto"/>
          <w:szCs w:val="21"/>
          <w:highlight w:val="auto"/>
        </w:rPr>
      </w:pPr>
      <w:r>
        <w:rPr>
          <w:rFonts w:ascii="宋体"/>
          <w:iCs/>
          <w:color w:val="auto"/>
          <w:szCs w:val="21"/>
          <w:highlight w:val="auto"/>
        </w:rPr>
        <w:t>2.</w:t>
      </w:r>
      <w:r>
        <w:rPr>
          <w:rFonts w:ascii="宋体" w:hint="eastAsia"/>
          <w:color w:val="auto"/>
          <w:szCs w:val="21"/>
          <w:u w:val="single"/>
          <w:highlight w:val="auto"/>
        </w:rPr>
        <w:t>（标的名称）</w:t>
      </w:r>
      <w:r>
        <w:rPr>
          <w:rFonts w:ascii="宋体" w:hint="eastAsia"/>
          <w:color w:val="auto"/>
          <w:szCs w:val="21"/>
          <w:highlight w:val="auto"/>
        </w:rPr>
        <w:t>，属于（</w:t>
      </w:r>
      <w:r>
        <w:rPr>
          <w:rFonts w:ascii="宋体" w:hint="eastAsia"/>
          <w:color w:val="auto"/>
          <w:szCs w:val="21"/>
          <w:u w:val="single"/>
          <w:highlight w:val="auto"/>
        </w:rPr>
        <w:t>采购文件中明确的所属行业）</w:t>
      </w:r>
      <w:r>
        <w:rPr>
          <w:rFonts w:ascii="宋体" w:hint="eastAsia"/>
          <w:color w:val="auto"/>
          <w:w w:val="96"/>
          <w:szCs w:val="21"/>
          <w:u w:val="single"/>
          <w:highlight w:val="auto"/>
        </w:rPr>
        <w:t>行业</w:t>
      </w:r>
      <w:r>
        <w:rPr>
          <w:rFonts w:ascii="宋体" w:hint="eastAsia"/>
          <w:color w:val="auto"/>
          <w:w w:val="99"/>
          <w:szCs w:val="21"/>
          <w:highlight w:val="auto"/>
        </w:rPr>
        <w:t>；制造商为</w:t>
      </w:r>
      <w:r>
        <w:rPr>
          <w:rFonts w:ascii="宋体" w:hint="eastAsia"/>
          <w:color w:val="auto"/>
          <w:w w:val="96"/>
          <w:szCs w:val="21"/>
          <w:u w:val="single"/>
          <w:highlight w:val="auto"/>
        </w:rPr>
        <w:t>（企业名称）</w:t>
      </w:r>
      <w:r>
        <w:rPr>
          <w:rFonts w:ascii="宋体" w:hint="eastAsia"/>
          <w:color w:val="auto"/>
          <w:w w:val="99"/>
          <w:szCs w:val="21"/>
          <w:highlight w:val="auto"/>
        </w:rPr>
        <w:t>，从业人员</w:t>
      </w:r>
      <w:r>
        <w:rPr>
          <w:rFonts w:ascii="宋体"/>
          <w:color w:val="auto"/>
          <w:w w:val="99"/>
          <w:szCs w:val="21"/>
          <w:u w:val="single"/>
          <w:highlight w:val="auto"/>
        </w:rPr>
        <w:t xml:space="preserve"> </w:t>
      </w:r>
      <w:r>
        <w:rPr>
          <w:rFonts w:ascii="宋体"/>
          <w:color w:val="auto"/>
          <w:szCs w:val="21"/>
          <w:u w:val="single"/>
          <w:highlight w:val="auto"/>
        </w:rPr>
        <w:tab/>
      </w:r>
      <w:r>
        <w:rPr>
          <w:rFonts w:ascii="宋体" w:hint="eastAsia"/>
          <w:color w:val="auto"/>
          <w:w w:val="99"/>
          <w:szCs w:val="21"/>
          <w:highlight w:val="auto"/>
        </w:rPr>
        <w:t>人，营业收入</w:t>
      </w:r>
      <w:r>
        <w:rPr>
          <w:rFonts w:ascii="宋体" w:hint="eastAsia"/>
          <w:color w:val="auto"/>
          <w:szCs w:val="21"/>
          <w:highlight w:val="auto"/>
        </w:rPr>
        <w:t>为</w:t>
      </w:r>
      <w:r>
        <w:rPr>
          <w:rFonts w:ascii="宋体"/>
          <w:color w:val="auto"/>
          <w:szCs w:val="21"/>
          <w:u w:val="single"/>
          <w:highlight w:val="auto"/>
        </w:rPr>
        <w:t xml:space="preserve"> </w:t>
        <w:tab/>
        <w:t xml:space="preserve">  </w:t>
      </w:r>
      <w:r>
        <w:rPr>
          <w:rFonts w:ascii="宋体" w:hint="eastAsia"/>
          <w:color w:val="auto"/>
          <w:szCs w:val="21"/>
          <w:highlight w:val="auto"/>
        </w:rPr>
        <w:t>万元，资产总额为</w:t>
      </w:r>
      <w:r>
        <w:rPr>
          <w:rFonts w:ascii="宋体"/>
          <w:color w:val="auto"/>
          <w:szCs w:val="21"/>
          <w:u w:val="single"/>
          <w:highlight w:val="auto"/>
        </w:rPr>
        <w:t xml:space="preserve"> </w:t>
        <w:tab/>
      </w:r>
      <w:r>
        <w:rPr>
          <w:rFonts w:ascii="宋体" w:hint="eastAsia"/>
          <w:color w:val="auto"/>
          <w:szCs w:val="21"/>
          <w:highlight w:val="auto"/>
        </w:rPr>
        <w:t>万元，属于</w:t>
      </w:r>
      <w:r>
        <w:rPr>
          <w:rFonts w:ascii="宋体" w:hint="eastAsia"/>
          <w:color w:val="auto"/>
          <w:szCs w:val="21"/>
          <w:u w:val="single"/>
          <w:highlight w:val="auto"/>
        </w:rPr>
        <w:t>（中型企业、小型</w:t>
      </w:r>
      <w:r>
        <w:rPr>
          <w:rFonts w:ascii="宋体" w:hint="eastAsia"/>
          <w:color w:val="auto"/>
          <w:w w:val="96"/>
          <w:szCs w:val="21"/>
          <w:u w:val="single"/>
          <w:highlight w:val="auto"/>
        </w:rPr>
        <w:t>企业、微型企业）</w:t>
      </w:r>
      <w:r>
        <w:rPr>
          <w:rFonts w:ascii="宋体" w:hint="eastAsia"/>
          <w:color w:val="auto"/>
          <w:w w:val="99"/>
          <w:szCs w:val="21"/>
          <w:highlight w:val="auto"/>
        </w:rPr>
        <w:t>；</w:t>
      </w:r>
    </w:p>
    <w:p>
      <w:pPr>
        <w:pStyle w:val="21"/>
        <w:autoSpaceDE w:val="0"/>
        <w:autoSpaceDN w:val="0"/>
        <w:spacing w:line="360" w:lineRule="auto"/>
        <w:ind w:rightChars="-31" w:right="-65" w:firstLineChars="228" w:firstLine="479"/>
        <w:rPr>
          <w:rFonts w:ascii="宋体"/>
          <w:color w:val="auto"/>
          <w:sz w:val="21"/>
          <w:szCs w:val="21"/>
          <w:highlight w:val="auto"/>
        </w:rPr>
      </w:pPr>
      <w:r>
        <w:rPr>
          <w:rFonts w:ascii="宋体" w:hint="eastAsia"/>
          <w:color w:val="auto"/>
          <w:sz w:val="21"/>
          <w:szCs w:val="21"/>
          <w:highlight w:val="auto"/>
        </w:rPr>
        <w:t>……</w:t>
      </w:r>
    </w:p>
    <w:p>
      <w:pPr>
        <w:pStyle w:val="21"/>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以上企业，不属于大企业的分支机构，不存在控股股东为大企业的情形，也不存在与大企业的负责人为同一人的情形。</w:t>
      </w:r>
    </w:p>
    <w:p>
      <w:pPr>
        <w:pStyle w:val="21"/>
        <w:autoSpaceDE w:val="0"/>
        <w:autoSpaceDN w:val="0"/>
        <w:spacing w:line="360" w:lineRule="auto"/>
        <w:ind w:rightChars="-31" w:right="-65" w:firstLineChars="200" w:firstLine="420"/>
        <w:rPr>
          <w:rFonts w:ascii="宋体"/>
          <w:color w:val="auto"/>
          <w:sz w:val="21"/>
          <w:szCs w:val="21"/>
          <w:highlight w:val="auto"/>
        </w:rPr>
      </w:pPr>
      <w:r>
        <w:rPr>
          <w:rFonts w:ascii="宋体" w:hint="eastAsia"/>
          <w:color w:val="auto"/>
          <w:sz w:val="21"/>
          <w:szCs w:val="21"/>
          <w:highlight w:val="auto"/>
        </w:rPr>
        <w:t>本企业对上述声明内容的真实性负责。如有虚假，将依法承担相应责任。</w:t>
      </w:r>
    </w:p>
    <w:p>
      <w:pPr>
        <w:pStyle w:val="21"/>
        <w:autoSpaceDE w:val="0"/>
        <w:autoSpaceDN w:val="0"/>
        <w:spacing w:line="360" w:lineRule="auto"/>
        <w:ind w:right="372" w:firstLine="645"/>
        <w:rPr>
          <w:rFonts w:ascii="宋体"/>
          <w:color w:val="auto"/>
          <w:sz w:val="21"/>
          <w:szCs w:val="21"/>
          <w:highlight w:val="auto"/>
        </w:rPr>
      </w:pPr>
    </w:p>
    <w:p>
      <w:pPr>
        <w:pStyle w:val="21"/>
        <w:autoSpaceDE w:val="0"/>
        <w:autoSpaceDN w:val="0"/>
        <w:spacing w:line="360" w:lineRule="auto"/>
        <w:ind w:right="372" w:firstLine="645"/>
        <w:rPr>
          <w:rFonts w:ascii="宋体"/>
          <w:color w:val="auto"/>
          <w:sz w:val="21"/>
          <w:szCs w:val="21"/>
          <w:highlight w:val="auto"/>
        </w:rPr>
      </w:pPr>
    </w:p>
    <w:p>
      <w:pPr>
        <w:pStyle w:val="21"/>
        <w:autoSpaceDE w:val="0"/>
        <w:autoSpaceDN w:val="0"/>
        <w:spacing w:line="360" w:lineRule="auto"/>
        <w:ind w:left="4060" w:right="2166"/>
        <w:rPr>
          <w:rFonts w:ascii="宋体"/>
          <w:color w:val="auto"/>
          <w:w w:val="99"/>
          <w:sz w:val="21"/>
          <w:szCs w:val="21"/>
          <w:highlight w:val="auto"/>
        </w:rPr>
      </w:pPr>
      <w:r>
        <w:rPr>
          <w:rFonts w:ascii="宋体" w:hint="eastAsia"/>
          <w:color w:val="auto"/>
          <w:w w:val="99"/>
          <w:sz w:val="21"/>
          <w:szCs w:val="21"/>
          <w:highlight w:val="auto"/>
        </w:rPr>
        <w:t>企业名称（盖章）：</w:t>
      </w:r>
    </w:p>
    <w:p>
      <w:pPr>
        <w:pStyle w:val="21"/>
        <w:autoSpaceDE w:val="0"/>
        <w:autoSpaceDN w:val="0"/>
        <w:spacing w:line="360" w:lineRule="auto"/>
        <w:ind w:left="4060" w:right="2166"/>
        <w:rPr>
          <w:rFonts w:ascii="宋体"/>
          <w:color w:val="auto"/>
          <w:sz w:val="21"/>
          <w:szCs w:val="21"/>
          <w:highlight w:val="auto"/>
        </w:rPr>
      </w:pPr>
      <w:r>
        <w:rPr>
          <w:rFonts w:ascii="宋体" w:hint="eastAsia"/>
          <w:color w:val="auto"/>
          <w:sz w:val="21"/>
          <w:szCs w:val="21"/>
          <w:highlight w:val="auto"/>
        </w:rPr>
        <w:t>日期：</w:t>
      </w:r>
    </w:p>
    <w:p>
      <w:pPr>
        <w:autoSpaceDE w:val="0"/>
        <w:autoSpaceDN w:val="0"/>
        <w:spacing w:line="360" w:lineRule="auto"/>
        <w:rPr>
          <w:rFonts w:ascii="宋体"/>
          <w:color w:val="auto"/>
          <w:szCs w:val="21"/>
          <w:highlight w:val="auto"/>
        </w:rPr>
      </w:pPr>
    </w:p>
    <w:p>
      <w:pPr>
        <w:pStyle w:val="24"/>
        <w:rPr>
          <w:rFonts w:ascii="宋体" w:eastAsia="宋体"/>
          <w:color w:val="auto"/>
          <w:sz w:val="21"/>
          <w:szCs w:val="21"/>
          <w:highlight w:val="auto"/>
        </w:rPr>
      </w:pPr>
    </w:p>
    <w:p>
      <w:pPr>
        <w:pStyle w:val="24"/>
        <w:rPr>
          <w:rFonts w:ascii="宋体" w:eastAsia="宋体"/>
          <w:color w:val="auto"/>
          <w:sz w:val="21"/>
          <w:szCs w:val="21"/>
          <w:highlight w:val="auto"/>
        </w:rPr>
      </w:pPr>
    </w:p>
    <w:p>
      <w:pPr>
        <w:pStyle w:val="24"/>
        <w:rPr>
          <w:rFonts w:ascii="宋体" w:eastAsia="宋体"/>
          <w:color w:val="auto"/>
          <w:sz w:val="21"/>
          <w:szCs w:val="21"/>
          <w:highlight w:val="auto"/>
        </w:rPr>
      </w:pPr>
    </w:p>
    <w:p>
      <w:pPr>
        <w:pStyle w:val="24"/>
        <w:ind w:left="0"/>
        <w:rPr>
          <w:rFonts w:ascii="宋体" w:eastAsia="宋体"/>
          <w:color w:val="auto"/>
          <w:sz w:val="21"/>
          <w:szCs w:val="21"/>
          <w:highlight w:val="auto"/>
        </w:rPr>
      </w:pPr>
    </w:p>
    <w:p>
      <w:pPr>
        <w:adjustRightInd w:val="0"/>
        <w:snapToGrid w:val="0"/>
        <w:spacing w:line="320" w:lineRule="exact"/>
        <w:rPr>
          <w:rFonts w:ascii="宋体" w:cs="宋体"/>
          <w:b/>
          <w:color w:val="auto"/>
          <w:szCs w:val="21"/>
          <w:highlight w:val="auto"/>
        </w:rPr>
      </w:pPr>
      <w:r>
        <w:rPr>
          <w:rFonts w:ascii="宋体" w:cs="宋体" w:hint="eastAsia"/>
          <w:b/>
          <w:color w:val="auto"/>
          <w:szCs w:val="21"/>
          <w:highlight w:val="auto"/>
        </w:rPr>
        <w:t>说明：</w:t>
      </w:r>
    </w:p>
    <w:p>
      <w:pPr>
        <w:pageBreakBefore w:val="0"/>
        <w:widowControl w:val="0"/>
        <w:kinsoku/>
        <w:overflowPunct/>
        <w:topLinePunct w:val="0"/>
        <w:bidi w:val="0"/>
        <w:spacing w:line="360" w:lineRule="auto"/>
        <w:ind w:firstLineChars="147" w:firstLine="309"/>
        <w:jc w:val="left"/>
        <w:rPr>
          <w:rFonts w:ascii="宋体" w:eastAsia="宋体" w:cs="宋体" w:hint="eastAsia"/>
          <w:b/>
          <w:color w:val="auto"/>
          <w:sz w:val="21"/>
          <w:szCs w:val="21"/>
          <w:highlight w:val="auto"/>
        </w:rPr>
      </w:pPr>
      <w:r>
        <w:rPr>
          <w:rFonts w:ascii="宋体" w:eastAsia="宋体" w:cs="宋体" w:hint="eastAsia"/>
          <w:b/>
          <w:color w:val="auto"/>
          <w:sz w:val="21"/>
          <w:szCs w:val="21"/>
          <w:highlight w:val="auto"/>
        </w:rPr>
        <w:t>从业人员、营业收入、资产总额填报上一年度数据，无上一年度数据的新成立企业可不填报。</w:t>
      </w:r>
    </w:p>
    <w:p>
      <w:pPr>
        <w:pageBreakBefore w:val="0"/>
        <w:widowControl w:val="0"/>
        <w:kinsoku/>
        <w:overflowPunct/>
        <w:topLinePunct w:val="0"/>
        <w:bidi w:val="0"/>
        <w:spacing w:line="360" w:lineRule="auto"/>
        <w:ind w:right="420"/>
        <w:rPr>
          <w:rFonts w:ascii="宋体" w:eastAsia="宋体" w:cs="宋体" w:hint="eastAsia"/>
          <w:color w:val="auto"/>
          <w:sz w:val="21"/>
          <w:szCs w:val="21"/>
          <w:highlight w:val="auto"/>
        </w:rPr>
      </w:pPr>
    </w:p>
    <w:p>
      <w:pPr>
        <w:pageBreakBefore w:val="0"/>
        <w:widowControl w:val="0"/>
        <w:kinsoku/>
        <w:overflowPunct/>
        <w:topLinePunct w:val="0"/>
        <w:bidi w:val="0"/>
        <w:spacing w:line="360" w:lineRule="auto"/>
        <w:ind w:right="420"/>
        <w:rPr>
          <w:rFonts w:ascii="宋体" w:eastAsia="宋体" w:cs="宋体" w:hint="eastAsia"/>
          <w:color w:val="auto"/>
          <w:sz w:val="21"/>
          <w:szCs w:val="21"/>
          <w:highlight w:val="auto"/>
        </w:rPr>
      </w:pPr>
      <w:r>
        <w:rPr>
          <w:rFonts w:ascii="宋体" w:eastAsia="宋体" w:cs="宋体" w:hint="eastAsia"/>
          <w:color w:val="auto"/>
          <w:sz w:val="21"/>
          <w:szCs w:val="21"/>
          <w:highlight w:val="auto"/>
        </w:rPr>
        <w:t xml:space="preserve">   注：</w:t>
      </w:r>
    </w:p>
    <w:p>
      <w:pPr>
        <w:pageBreakBefore w:val="0"/>
        <w:widowControl w:val="0"/>
        <w:kinsoku/>
        <w:overflowPunct/>
        <w:topLinePunct w:val="0"/>
        <w:bidi w:val="0"/>
        <w:spacing w:line="360" w:lineRule="auto"/>
        <w:ind w:right="420" w:firstLineChars="200" w:firstLine="420"/>
        <w:rPr>
          <w:rFonts w:ascii="宋体" w:eastAsia="宋体" w:cs="宋体" w:hint="eastAsia"/>
          <w:color w:val="auto"/>
          <w:sz w:val="21"/>
          <w:szCs w:val="21"/>
          <w:highlight w:val="auto"/>
        </w:rPr>
      </w:pPr>
      <w:r>
        <w:rPr>
          <w:rFonts w:ascii="宋体" w:eastAsia="宋体" w:cs="宋体" w:hint="eastAsia"/>
          <w:color w:val="auto"/>
          <w:sz w:val="21"/>
          <w:szCs w:val="21"/>
          <w:highlight w:val="auto"/>
        </w:rPr>
        <w:t>1、填写要求：①“标的名称”、“采购文件中明确的所属行业”依据招标文件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pPr>
        <w:pageBreakBefore w:val="0"/>
        <w:widowControl w:val="0"/>
        <w:kinsoku/>
        <w:overflowPunct/>
        <w:topLinePunct w:val="0"/>
        <w:bidi w:val="0"/>
        <w:spacing w:line="360" w:lineRule="auto"/>
        <w:ind w:right="420" w:firstLineChars="300" w:firstLine="630"/>
        <w:rPr>
          <w:rFonts w:ascii="宋体" w:eastAsia="宋体" w:cs="宋体" w:hint="eastAsia"/>
          <w:color w:val="auto"/>
          <w:sz w:val="21"/>
          <w:szCs w:val="21"/>
          <w:highlight w:val="auto"/>
        </w:rPr>
      </w:pPr>
      <w:r>
        <w:rPr>
          <w:rFonts w:ascii="宋体" w:eastAsia="宋体" w:cs="宋体" w:hint="eastAsia"/>
          <w:color w:val="auto"/>
          <w:sz w:val="21"/>
          <w:szCs w:val="21"/>
          <w:highlight w:val="auto"/>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adjustRightInd w:val="0"/>
        <w:snapToGrid w:val="0"/>
        <w:spacing w:line="320" w:lineRule="exact"/>
        <w:ind w:left="20"/>
        <w:jc w:val="left"/>
        <w:rPr>
          <w:rFonts w:ascii="宋体" w:cs="宋体"/>
          <w:b/>
          <w:color w:val="auto"/>
          <w:szCs w:val="21"/>
          <w:highlight w:val="auto"/>
        </w:rPr>
      </w:pPr>
    </w:p>
    <w:p>
      <w:pPr>
        <w:pStyle w:val="24"/>
        <w:ind w:left="0"/>
        <w:rPr>
          <w:color w:val="auto"/>
          <w:highlight w:val="auto"/>
        </w:rPr>
      </w:pPr>
    </w:p>
    <w:p>
      <w:pPr>
        <w:pStyle w:val="24"/>
        <w:rPr>
          <w:color w:val="auto"/>
          <w:sz w:val="21"/>
          <w:szCs w:val="21"/>
          <w:highlight w:val="auto"/>
        </w:rPr>
        <w:sectPr>
          <w:footerReference w:type="default" r:id="rId12"/>
          <w:pgSz w:w="11911" w:h="16838"/>
          <w:pgMar w:top="1502" w:right="1378" w:bottom="1780" w:left="1582" w:header="0" w:footer="1378" w:gutter="0"/>
          <w:docGrid w:linePitch="312" w:charSpace="0"/>
        </w:sectPr>
      </w:pPr>
    </w:p>
    <w:p>
      <w:pPr>
        <w:spacing w:line="588" w:lineRule="exact"/>
        <w:rPr>
          <w:rFonts w:ascii="宋体" w:cs="宋体"/>
          <w:b/>
          <w:color w:val="auto"/>
          <w:szCs w:val="21"/>
          <w:highlight w:val="auto"/>
        </w:rPr>
      </w:pPr>
      <w:r>
        <w:rPr>
          <w:rFonts w:ascii="宋体"/>
          <w:b/>
          <w:color w:val="auto"/>
          <w:spacing w:val="6"/>
          <w:szCs w:val="21"/>
          <w:highlight w:val="auto"/>
        </w:rPr>
        <w:t>6.</w:t>
      </w:r>
      <w:r>
        <w:rPr>
          <w:rFonts w:ascii="宋体" w:hint="eastAsia"/>
          <w:b/>
          <w:color w:val="auto"/>
          <w:spacing w:val="6"/>
          <w:szCs w:val="21"/>
          <w:lang w:val="en-US" w:eastAsia="zh-CN"/>
          <w:highlight w:val="auto"/>
        </w:rPr>
        <w:t>5</w:t>
      </w:r>
      <w:r>
        <w:rPr>
          <w:rFonts w:ascii="宋体" w:cs="宋体" w:hint="eastAsia"/>
          <w:b/>
          <w:color w:val="auto"/>
          <w:szCs w:val="21"/>
          <w:highlight w:val="auto"/>
        </w:rPr>
        <w:t>投标人为监狱企业的证明文件</w:t>
      </w:r>
    </w:p>
    <w:p>
      <w:pPr>
        <w:snapToGrid w:val="0"/>
        <w:spacing w:line="360" w:lineRule="auto"/>
        <w:rPr>
          <w:rFonts w:ascii="宋体" w:cs="宋体"/>
          <w:b/>
          <w:color w:val="auto"/>
          <w:szCs w:val="21"/>
          <w:highlight w:val="auto"/>
        </w:rPr>
      </w:pPr>
    </w:p>
    <w:p>
      <w:pPr>
        <w:snapToGrid w:val="0"/>
        <w:spacing w:line="360" w:lineRule="auto"/>
        <w:rPr>
          <w:rFonts w:ascii="宋体" w:cs="宋体"/>
          <w:b/>
          <w:color w:val="auto"/>
          <w:szCs w:val="21"/>
          <w:highlight w:val="auto"/>
        </w:rPr>
      </w:pPr>
    </w:p>
    <w:p>
      <w:pPr>
        <w:tabs>
          <w:tab w:val="left" w:pos="4860"/>
        </w:tabs>
        <w:spacing w:line="588" w:lineRule="exact"/>
        <w:ind w:right="1560" w:firstLineChars="200" w:firstLine="420"/>
        <w:jc w:val="center"/>
        <w:rPr>
          <w:rFonts w:ascii="宋体" w:cs="宋体"/>
          <w:b/>
          <w:color w:val="auto"/>
          <w:szCs w:val="21"/>
          <w:highlight w:val="auto"/>
        </w:rPr>
      </w:pPr>
    </w:p>
    <w:p>
      <w:pPr>
        <w:tabs>
          <w:tab w:val="left" w:pos="4860"/>
        </w:tabs>
        <w:spacing w:line="588" w:lineRule="exact"/>
        <w:ind w:right="1560" w:firstLineChars="200" w:firstLine="420"/>
        <w:jc w:val="center"/>
        <w:rPr>
          <w:rFonts w:ascii="宋体" w:cs="宋体"/>
          <w:b/>
          <w:color w:val="auto"/>
          <w:szCs w:val="21"/>
          <w:highlight w:val="auto"/>
        </w:rPr>
      </w:pPr>
    </w:p>
    <w:p>
      <w:pPr>
        <w:tabs>
          <w:tab w:val="left" w:pos="4860"/>
        </w:tabs>
        <w:spacing w:line="588" w:lineRule="exact"/>
        <w:ind w:right="1560" w:firstLineChars="200" w:firstLine="420"/>
        <w:jc w:val="center"/>
        <w:rPr>
          <w:rFonts w:ascii="宋体"/>
          <w:color w:val="auto"/>
          <w:spacing w:val="6"/>
          <w:szCs w:val="21"/>
          <w:highlight w:val="auto"/>
        </w:rPr>
      </w:pPr>
      <w:r>
        <w:rPr>
          <w:rFonts w:ascii="宋体" w:cs="宋体" w:hint="eastAsia"/>
          <w:b/>
          <w:color w:val="auto"/>
          <w:szCs w:val="21"/>
          <w:highlight w:val="auto"/>
        </w:rPr>
        <w:t>由省级以上监狱管理局、戒毒管理局（含新疆生产建设兵团）出具的投标人为监狱企业的证明文件（如有）</w:t>
      </w:r>
    </w:p>
    <w:p>
      <w:pPr>
        <w:autoSpaceDE w:val="0"/>
        <w:autoSpaceDN w:val="0"/>
        <w:adjustRightInd w:val="0"/>
        <w:spacing w:line="360" w:lineRule="auto"/>
        <w:rPr>
          <w:rFonts w:ascii="宋体"/>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pPr>
    </w:p>
    <w:p>
      <w:pPr>
        <w:autoSpaceDE w:val="0"/>
        <w:autoSpaceDN w:val="0"/>
        <w:adjustRightInd w:val="0"/>
        <w:snapToGrid w:val="0"/>
        <w:spacing w:line="360" w:lineRule="auto"/>
        <w:outlineLvl w:val="1"/>
        <w:rPr>
          <w:rFonts w:ascii="宋体"/>
          <w:b/>
          <w:bCs/>
          <w:color w:val="auto"/>
          <w:szCs w:val="21"/>
          <w:highlight w:val="auto"/>
        </w:rPr>
        <w:sectPr>
          <w:pgSz w:w="11907" w:h="16840"/>
          <w:pgMar w:top="1361" w:right="1361" w:bottom="1361" w:left="1361" w:header="851" w:footer="992" w:gutter="0"/>
          <w:docGrid w:linePitch="312" w:charSpace="0"/>
        </w:sectPr>
      </w:pPr>
    </w:p>
    <w:p>
      <w:pPr>
        <w:spacing w:line="360" w:lineRule="auto"/>
        <w:rPr>
          <w:rFonts w:ascii="宋体" w:eastAsia="宋体"/>
          <w:b/>
          <w:bCs/>
          <w:color w:val="auto"/>
          <w:szCs w:val="21"/>
          <w:lang w:val="en-US" w:eastAsia="zh-CN"/>
          <w:highlight w:val="auto"/>
        </w:rPr>
      </w:pPr>
      <w:r>
        <w:rPr>
          <w:rFonts w:ascii="宋体"/>
          <w:b/>
          <w:bCs/>
          <w:color w:val="auto"/>
          <w:szCs w:val="21"/>
          <w:highlight w:val="auto"/>
        </w:rPr>
        <w:t>6.</w:t>
      </w:r>
      <w:r>
        <w:rPr>
          <w:rFonts w:ascii="宋体" w:hint="eastAsia"/>
          <w:b/>
          <w:bCs/>
          <w:color w:val="auto"/>
          <w:szCs w:val="21"/>
          <w:lang w:val="en-US" w:eastAsia="zh-CN"/>
          <w:highlight w:val="auto"/>
        </w:rPr>
        <w:t>6</w:t>
      </w:r>
    </w:p>
    <w:p>
      <w:pPr>
        <w:spacing w:line="360" w:lineRule="auto"/>
        <w:jc w:val="center"/>
        <w:rPr>
          <w:rFonts w:ascii="宋体" w:cs="宋体"/>
          <w:b/>
          <w:color w:val="auto"/>
          <w:spacing w:val="6"/>
          <w:szCs w:val="21"/>
          <w:highlight w:val="auto"/>
        </w:rPr>
      </w:pPr>
      <w:r>
        <w:rPr>
          <w:rFonts w:ascii="宋体" w:cs="宋体" w:hint="eastAsia"/>
          <w:b/>
          <w:color w:val="auto"/>
          <w:spacing w:val="6"/>
          <w:szCs w:val="21"/>
          <w:highlight w:val="auto"/>
        </w:rPr>
        <w:t>残疾人福利性单位声明函</w:t>
      </w:r>
    </w:p>
    <w:p>
      <w:pPr>
        <w:spacing w:line="360" w:lineRule="auto"/>
        <w:ind w:firstLineChars="200" w:firstLine="444"/>
        <w:rPr>
          <w:rFonts w:ascii="宋体" w:cs="宋体"/>
          <w:color w:val="auto"/>
          <w:spacing w:val="6"/>
          <w:szCs w:val="21"/>
          <w:highlight w:val="auto"/>
        </w:rPr>
      </w:pPr>
      <w:r>
        <w:rPr>
          <w:rFonts w:ascii="宋体" w:cs="宋体" w:hint="eastAsia"/>
          <w:color w:val="auto"/>
          <w:spacing w:val="6"/>
          <w:szCs w:val="21"/>
          <w:highlight w:val="auto"/>
        </w:rPr>
        <w:t>本单位郑重声明，根据《财政部</w:t>
      </w:r>
      <w:r>
        <w:rPr>
          <w:rFonts w:ascii="宋体" w:cs="宋体"/>
          <w:color w:val="auto"/>
          <w:spacing w:val="6"/>
          <w:szCs w:val="21"/>
          <w:highlight w:val="auto"/>
        </w:rPr>
        <w:t xml:space="preserve"> </w:t>
      </w:r>
      <w:r>
        <w:rPr>
          <w:rFonts w:ascii="宋体" w:cs="宋体" w:hint="eastAsia"/>
          <w:color w:val="auto"/>
          <w:spacing w:val="6"/>
          <w:szCs w:val="21"/>
          <w:highlight w:val="auto"/>
        </w:rPr>
        <w:t>民政部</w:t>
      </w:r>
      <w:r>
        <w:rPr>
          <w:rFonts w:ascii="宋体" w:cs="宋体"/>
          <w:color w:val="auto"/>
          <w:spacing w:val="6"/>
          <w:szCs w:val="21"/>
          <w:highlight w:val="auto"/>
        </w:rPr>
        <w:t xml:space="preserve"> </w:t>
      </w:r>
      <w:r>
        <w:rPr>
          <w:rFonts w:ascii="宋体" w:cs="宋体" w:hint="eastAsia"/>
          <w:color w:val="auto"/>
          <w:spacing w:val="6"/>
          <w:szCs w:val="21"/>
          <w:highlight w:val="auto"/>
        </w:rPr>
        <w:t>中国残疾人联合会关于促进残疾人就业政府采购政策的通知》（财库</w:t>
      </w:r>
      <w:r>
        <w:rPr>
          <w:rFonts w:ascii="宋体" w:cs="宋体"/>
          <w:color w:val="auto"/>
          <w:szCs w:val="21"/>
          <w:highlight w:val="auto"/>
        </w:rPr>
        <w:t>[2017]141</w:t>
      </w:r>
      <w:r>
        <w:rPr>
          <w:rFonts w:ascii="宋体" w:cs="宋体" w:hint="eastAsia"/>
          <w:color w:val="auto"/>
          <w:spacing w:val="6"/>
          <w:szCs w:val="21"/>
          <w:highlight w:val="auto"/>
        </w:rPr>
        <w:t>号）的规定，本单位为符合条件的残疾人福利性单位，且本单位参加</w:t>
      </w:r>
      <w:r>
        <w:rPr>
          <w:rFonts w:ascii="宋体" w:cs="宋体" w:hint="eastAsia"/>
          <w:bCs/>
          <w:color w:val="auto"/>
          <w:spacing w:val="-6"/>
          <w:szCs w:val="21"/>
          <w:highlight w:val="auto"/>
        </w:rPr>
        <w:t>嘉兴海关综合技术服务中心</w:t>
      </w:r>
      <w:r>
        <w:rPr>
          <w:rFonts w:ascii="宋体" w:cs="宋体"/>
          <w:bCs/>
          <w:color w:val="auto"/>
          <w:spacing w:val="-6"/>
          <w:szCs w:val="21"/>
          <w:highlight w:val="auto"/>
        </w:rPr>
        <w:t xml:space="preserve">      </w:t>
      </w:r>
      <w:r>
        <w:rPr>
          <w:rFonts w:ascii="宋体" w:cs="宋体" w:hint="eastAsia"/>
          <w:color w:val="auto"/>
          <w:spacing w:val="6"/>
          <w:szCs w:val="21"/>
          <w:highlight w:val="auto"/>
        </w:rPr>
        <w:t>活动提供本单位制造的货物，或者提供其他残疾人福利性单位制造的货物（不包括使用非残疾人福利性单位注册商标的货物）。</w:t>
      </w:r>
    </w:p>
    <w:p>
      <w:pPr>
        <w:spacing w:line="360" w:lineRule="auto"/>
        <w:ind w:firstLineChars="200" w:firstLine="444"/>
        <w:rPr>
          <w:rFonts w:ascii="宋体" w:cs="宋体"/>
          <w:color w:val="auto"/>
          <w:spacing w:val="6"/>
          <w:szCs w:val="21"/>
          <w:highlight w:val="auto"/>
        </w:rPr>
      </w:pPr>
      <w:r>
        <w:rPr>
          <w:rFonts w:ascii="宋体" w:cs="宋体" w:hint="eastAsia"/>
          <w:color w:val="auto"/>
          <w:spacing w:val="6"/>
          <w:szCs w:val="21"/>
          <w:highlight w:val="auto"/>
        </w:rPr>
        <w:t>本单位对上述声明的真实性负责。如有虚假，将依法承担相应责任。</w:t>
      </w:r>
    </w:p>
    <w:p>
      <w:pPr>
        <w:spacing w:line="360" w:lineRule="auto"/>
        <w:rPr>
          <w:rFonts w:ascii="宋体" w:cs="宋体"/>
          <w:color w:val="auto"/>
          <w:spacing w:val="-6"/>
          <w:szCs w:val="21"/>
          <w:highlight w:val="auto"/>
        </w:rPr>
      </w:pPr>
    </w:p>
    <w:p>
      <w:pPr>
        <w:spacing w:line="360" w:lineRule="auto"/>
        <w:ind w:rightChars="-389" w:right="-817"/>
        <w:rPr>
          <w:rFonts w:ascii="宋体" w:cs="宋体"/>
          <w:color w:val="auto"/>
          <w:spacing w:val="-6"/>
          <w:szCs w:val="21"/>
          <w:highlight w:val="auto"/>
        </w:rPr>
      </w:pPr>
      <w:r>
        <w:rPr>
          <w:rFonts w:ascii="宋体" w:cs="宋体" w:hint="eastAsia"/>
          <w:color w:val="auto"/>
          <w:spacing w:val="-6"/>
          <w:szCs w:val="21"/>
          <w:highlight w:val="auto"/>
        </w:rPr>
        <w:t>供应商名称（盖章）：</w:t>
      </w:r>
    </w:p>
    <w:p>
      <w:pPr>
        <w:spacing w:line="360" w:lineRule="auto"/>
        <w:ind w:rightChars="-389" w:right="-817"/>
        <w:rPr>
          <w:rFonts w:ascii="宋体" w:cs="宋体"/>
          <w:color w:val="auto"/>
          <w:spacing w:val="-6"/>
          <w:szCs w:val="21"/>
          <w:highlight w:val="auto"/>
        </w:rPr>
      </w:pPr>
      <w:r>
        <w:rPr>
          <w:rFonts w:ascii="宋体" w:cs="宋体" w:hint="eastAsia"/>
          <w:color w:val="auto"/>
          <w:spacing w:val="-6"/>
          <w:szCs w:val="21"/>
          <w:highlight w:val="auto"/>
        </w:rPr>
        <w:t>供应商授权代表签字：</w:t>
      </w:r>
    </w:p>
    <w:p>
      <w:pPr>
        <w:spacing w:line="360" w:lineRule="auto"/>
        <w:ind w:rightChars="-389" w:right="-817"/>
        <w:rPr>
          <w:rFonts w:ascii="宋体" w:cs="宋体"/>
          <w:bCs/>
          <w:color w:val="auto"/>
          <w:spacing w:val="-6"/>
          <w:szCs w:val="21"/>
          <w:highlight w:val="auto"/>
        </w:rPr>
      </w:pPr>
      <w:r>
        <w:rPr>
          <w:rFonts w:ascii="宋体" w:cs="宋体" w:hint="eastAsia"/>
          <w:bCs/>
          <w:color w:val="auto"/>
          <w:spacing w:val="-6"/>
          <w:szCs w:val="21"/>
          <w:highlight w:val="auto"/>
        </w:rPr>
        <w:t>日期：</w:t>
      </w:r>
      <w:r>
        <w:rPr>
          <w:rFonts w:ascii="宋体" w:cs="宋体"/>
          <w:bCs/>
          <w:color w:val="auto"/>
          <w:spacing w:val="-6"/>
          <w:szCs w:val="21"/>
          <w:highlight w:val="auto"/>
        </w:rPr>
        <w:t xml:space="preserve">    </w:t>
      </w:r>
      <w:r>
        <w:rPr>
          <w:rFonts w:ascii="宋体" w:cs="宋体" w:hint="eastAsia"/>
          <w:bCs/>
          <w:color w:val="auto"/>
          <w:spacing w:val="-6"/>
          <w:szCs w:val="21"/>
          <w:highlight w:val="auto"/>
        </w:rPr>
        <w:t>年</w:t>
      </w:r>
      <w:r>
        <w:rPr>
          <w:rFonts w:ascii="宋体" w:cs="宋体"/>
          <w:bCs/>
          <w:color w:val="auto"/>
          <w:spacing w:val="-6"/>
          <w:szCs w:val="21"/>
          <w:highlight w:val="auto"/>
        </w:rPr>
        <w:t xml:space="preserve">  </w:t>
      </w:r>
      <w:r>
        <w:rPr>
          <w:rFonts w:ascii="宋体" w:cs="宋体" w:hint="eastAsia"/>
          <w:bCs/>
          <w:color w:val="auto"/>
          <w:spacing w:val="-6"/>
          <w:szCs w:val="21"/>
          <w:highlight w:val="auto"/>
        </w:rPr>
        <w:t>月</w:t>
      </w:r>
      <w:r>
        <w:rPr>
          <w:rFonts w:ascii="宋体" w:cs="宋体"/>
          <w:bCs/>
          <w:color w:val="auto"/>
          <w:spacing w:val="-6"/>
          <w:szCs w:val="21"/>
          <w:highlight w:val="auto"/>
        </w:rPr>
        <w:t xml:space="preserve">  </w:t>
      </w:r>
      <w:r>
        <w:rPr>
          <w:rFonts w:ascii="宋体" w:cs="宋体" w:hint="eastAsia"/>
          <w:bCs/>
          <w:color w:val="auto"/>
          <w:spacing w:val="-6"/>
          <w:szCs w:val="21"/>
          <w:highlight w:val="auto"/>
        </w:rPr>
        <w:t>日</w:t>
      </w:r>
    </w:p>
    <w:p>
      <w:pPr>
        <w:spacing w:line="360" w:lineRule="auto"/>
        <w:ind w:firstLineChars="200" w:firstLine="444"/>
        <w:jc w:val="left"/>
        <w:rPr>
          <w:rFonts w:ascii="宋体" w:cs="宋体"/>
          <w:b/>
          <w:bCs/>
          <w:color w:val="auto"/>
          <w:szCs w:val="21"/>
          <w:highlight w:val="auto"/>
        </w:rPr>
      </w:pPr>
      <w:r>
        <w:rPr>
          <w:rFonts w:ascii="宋体" w:cs="宋体" w:hint="eastAsia"/>
          <w:b/>
          <w:color w:val="auto"/>
          <w:spacing w:val="6"/>
          <w:szCs w:val="21"/>
          <w:highlight w:val="auto"/>
        </w:rPr>
        <w:t>供应商不属于残疾人福利性单位的，无需提供此声明函，如提供所引起的后果由供应商承担。</w:t>
      </w:r>
    </w:p>
    <w:p>
      <w:pPr>
        <w:pStyle w:val="1"/>
        <w:numPr>
          <w:ilvl w:val="0"/>
          <w:numId w:val="0"/>
        </w:numPr>
        <w:rPr>
          <w:color w:val="auto"/>
          <w:lang w:val="en-US" w:eastAsia="zh-CN"/>
          <w:highlight w:val="auto"/>
        </w:rPr>
      </w:pPr>
    </w:p>
    <w:p>
      <w:pPr>
        <w:rPr>
          <w:color w:val="auto"/>
          <w:lang w:val="en-US" w:eastAsia="zh-CN"/>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0" w:firstLineChars="200" w:firstLine="420"/>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6.7本项目不接受进口产品投标（进口产品是指通过中国海关报关，验放进入中国境内，且产自关境外的产品），请提供承诺所投产品均为国产设备的承诺函（格式自拟）</w:t>
      </w: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bookmarkEnd w:id="115"/>
      <w:bookmarkEnd w:id="116"/>
      <w:bookmarkEnd w:id="117"/>
      <w:bookmarkEnd w:id="118"/>
      <w:bookmarkEnd w:id="119"/>
      <w:bookmarkEnd w:id="120"/>
      <w:bookmarkEnd w:id="121"/>
      <w:bookmarkEnd w:id="122"/>
      <w:bookmarkEnd w:id="123"/>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s="宋体" w:hint="eastAsia"/>
          <w:b/>
          <w:bCs/>
          <w:color w:val="auto"/>
          <w:kern w:val="0"/>
          <w:sz w:val="21"/>
          <w:szCs w:val="21"/>
          <w:lang w:val="en-US" w:eastAsia="zh-CN" w:bidi="ar-SA"/>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6.8评分索引</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5"/>
        <w:gridCol w:w="2131"/>
        <w:gridCol w:w="1453"/>
        <w:gridCol w:w="1876"/>
        <w:gridCol w:w="1350"/>
        <w:gridCol w:w="1135"/>
      </w:tblGrid>
      <w:tr>
        <w:tc>
          <w:tcPr>
            <w:tcW w:w="775"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序号</w:t>
            </w:r>
          </w:p>
        </w:tc>
        <w:tc>
          <w:tcPr>
            <w:tcW w:w="2131"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评审内容</w:t>
            </w:r>
          </w:p>
        </w:tc>
        <w:tc>
          <w:tcPr>
            <w:tcW w:w="1453"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招标文件要求</w:t>
            </w:r>
          </w:p>
        </w:tc>
        <w:tc>
          <w:tcPr>
            <w:tcW w:w="1876"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投标文件响应内容</w:t>
            </w:r>
          </w:p>
        </w:tc>
        <w:tc>
          <w:tcPr>
            <w:tcW w:w="1350"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自评分</w:t>
            </w:r>
          </w:p>
        </w:tc>
        <w:tc>
          <w:tcPr>
            <w:tcW w:w="1135"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页码</w:t>
            </w: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1</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2</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3</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4</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5</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b/>
                <w:bCs/>
                <w:color w:val="auto"/>
                <w:kern w:val="0"/>
                <w:sz w:val="21"/>
                <w:szCs w:val="21"/>
                <w:lang w:val="en-US" w:eastAsia="zh-CN" w:bidi="ar-SA"/>
                <w:highlight w:val="auto"/>
              </w:rPr>
            </w:pPr>
            <w:r>
              <w:rPr>
                <w:rFonts w:ascii="宋体" w:eastAsia="宋体" w:cs="宋体" w:hint="eastAsia"/>
                <w:b/>
                <w:bCs/>
                <w:color w:val="auto"/>
                <w:kern w:val="0"/>
                <w:sz w:val="21"/>
                <w:szCs w:val="21"/>
                <w:lang w:val="en-US" w:eastAsia="zh-CN" w:bidi="ar-SA"/>
                <w:highlight w:val="auto"/>
              </w:rPr>
              <w:t>.....</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auto"/>
                <w:szCs w:val="28"/>
                <w:vertAlign w:val="baseline"/>
                <w:highlight w:val="auto"/>
              </w:rPr>
            </w:pPr>
          </w:p>
        </w:tc>
      </w:tr>
    </w:tbl>
    <w:p>
      <w:pPr>
        <w:pStyle w:val="2"/>
        <w:numPr>
          <w:ilvl w:val="0"/>
          <w:numId w:val="0"/>
        </w:numPr>
        <w:tabs>
          <w:tab w:val="clear" w:pos="425"/>
        </w:tabs>
        <w:adjustRightInd w:val="0"/>
        <w:snapToGrid w:val="0"/>
        <w:spacing w:beforeLines="50" w:before="190" w:after="0" w:line="360" w:lineRule="auto"/>
        <w:ind w:left="567"/>
        <w:rPr>
          <w:rFonts w:cs="宋体"/>
          <w:color w:val="auto"/>
          <w:szCs w:val="28"/>
          <w:highlight w:val="auto"/>
        </w:rPr>
      </w:pPr>
      <w:r>
        <w:rPr>
          <w:rFonts w:cs="宋体"/>
          <w:color w:val="auto"/>
          <w:szCs w:val="28"/>
          <w:highlight w:val="auto"/>
        </w:rPr>
        <w:br w:type="page"/>
      </w:r>
      <w:bookmarkStart w:id="124" w:name="_Toc60757543"/>
      <w:bookmarkStart w:id="125" w:name="_Toc15806"/>
      <w:bookmarkStart w:id="126" w:name="_Toc468296148"/>
      <w:bookmarkStart w:id="127" w:name="_Toc368993660"/>
      <w:bookmarkStart w:id="128" w:name="_Toc371002592"/>
    </w:p>
    <w:p>
      <w:pPr>
        <w:pStyle w:val="2"/>
        <w:numPr>
          <w:ilvl w:val="0"/>
          <w:numId w:val="0"/>
        </w:numPr>
        <w:tabs>
          <w:tab w:val="clear" w:pos="425"/>
        </w:tabs>
        <w:adjustRightInd w:val="0"/>
        <w:snapToGrid w:val="0"/>
        <w:spacing w:beforeLines="50" w:before="190" w:after="0" w:line="360" w:lineRule="auto"/>
        <w:rPr>
          <w:rFonts w:ascii="宋体" w:eastAsia="宋体"/>
          <w:b w:val="0"/>
          <w:color w:val="auto"/>
          <w:sz w:val="24"/>
          <w:szCs w:val="24"/>
          <w:highlight w:val="auto"/>
        </w:rPr>
      </w:pPr>
      <w:r>
        <w:rPr>
          <w:rFonts w:ascii="宋体" w:eastAsia="宋体" w:hint="eastAsia"/>
          <w:color w:val="auto"/>
          <w:sz w:val="24"/>
          <w:szCs w:val="24"/>
          <w:lang w:val="en-US" w:eastAsia="zh-CN"/>
          <w:highlight w:val="auto"/>
        </w:rPr>
        <w:t>6.9</w:t>
      </w:r>
      <w:r>
        <w:rPr>
          <w:rFonts w:ascii="宋体" w:eastAsia="宋体" w:hint="eastAsia"/>
          <w:color w:val="auto"/>
          <w:sz w:val="24"/>
          <w:szCs w:val="24"/>
          <w:highlight w:val="auto"/>
        </w:rPr>
        <w:t>法定代表人身份证明</w:t>
      </w:r>
    </w:p>
    <w:p>
      <w:pPr>
        <w:pStyle w:val="15"/>
        <w:spacing w:line="360" w:lineRule="auto"/>
        <w:ind w:firstLineChars="200" w:firstLine="480"/>
        <w:rPr>
          <w:rFonts w:ascii="宋体" w:eastAsia="宋体"/>
          <w:bCs/>
          <w:color w:val="auto"/>
          <w:sz w:val="24"/>
          <w:szCs w:val="24"/>
          <w:highlight w:val="auto"/>
        </w:rPr>
      </w:pPr>
    </w:p>
    <w:p>
      <w:pPr>
        <w:pStyle w:val="15"/>
        <w:spacing w:line="360" w:lineRule="auto"/>
        <w:ind w:firstLineChars="200" w:firstLine="420"/>
        <w:rPr>
          <w:rFonts w:ascii="宋体" w:eastAsia="宋体"/>
          <w:bCs/>
          <w:color w:val="auto"/>
          <w:sz w:val="21"/>
          <w:szCs w:val="21"/>
          <w:highlight w:val="auto"/>
        </w:rPr>
      </w:pPr>
      <w:r>
        <w:rPr>
          <w:rFonts w:ascii="宋体" w:eastAsia="宋体" w:hint="eastAsia"/>
          <w:bCs/>
          <w:color w:val="auto"/>
          <w:sz w:val="21"/>
          <w:szCs w:val="21"/>
          <w:highlight w:val="auto"/>
        </w:rPr>
        <w:t>供应商名称：</w:t>
      </w:r>
      <w:r>
        <w:rPr>
          <w:rFonts w:ascii="宋体" w:eastAsia="宋体"/>
          <w:bCs/>
          <w:color w:val="auto"/>
          <w:sz w:val="21"/>
          <w:szCs w:val="21"/>
          <w:highlight w:val="auto"/>
        </w:rPr>
        <w:t>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单位性质：</w:t>
      </w:r>
      <w:r>
        <w:rPr>
          <w:rFonts w:ascii="宋体" w:eastAsia="宋体"/>
          <w:bCs/>
          <w:color w:val="auto"/>
          <w:sz w:val="21"/>
          <w:szCs w:val="21"/>
          <w:highlight w:val="auto"/>
        </w:rPr>
        <w:t>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地址：</w:t>
      </w:r>
      <w:r>
        <w:rPr>
          <w:rFonts w:ascii="宋体" w:eastAsia="宋体"/>
          <w:bCs/>
          <w:color w:val="auto"/>
          <w:sz w:val="21"/>
          <w:szCs w:val="21"/>
          <w:highlight w:val="auto"/>
        </w:rPr>
        <w:t>_____________________________________.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成立时间：</w:t>
      </w:r>
      <w:r>
        <w:rPr>
          <w:rFonts w:ascii="宋体" w:eastAsia="宋体"/>
          <w:bCs/>
          <w:color w:val="auto"/>
          <w:sz w:val="21"/>
          <w:szCs w:val="21"/>
          <w:highlight w:val="auto"/>
        </w:rPr>
        <w:t>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经营期限：</w:t>
      </w:r>
      <w:r>
        <w:rPr>
          <w:rFonts w:ascii="宋体" w:eastAsia="宋体"/>
          <w:bCs/>
          <w:color w:val="auto"/>
          <w:sz w:val="21"/>
          <w:szCs w:val="21"/>
          <w:highlight w:val="auto"/>
        </w:rPr>
        <w:t>_________________________________.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姓名：</w:t>
      </w:r>
      <w:r>
        <w:rPr>
          <w:rFonts w:ascii="宋体" w:eastAsia="宋体"/>
          <w:bCs/>
          <w:color w:val="auto"/>
          <w:sz w:val="21"/>
          <w:szCs w:val="21"/>
          <w:highlight w:val="auto"/>
        </w:rPr>
        <w:t>_______</w:t>
      </w:r>
      <w:r>
        <w:rPr>
          <w:rFonts w:ascii="宋体" w:eastAsia="宋体" w:hint="eastAsia"/>
          <w:bCs/>
          <w:color w:val="auto"/>
          <w:sz w:val="21"/>
          <w:szCs w:val="21"/>
          <w:highlight w:val="auto"/>
        </w:rPr>
        <w:t>性别：</w:t>
      </w:r>
      <w:r>
        <w:rPr>
          <w:rFonts w:ascii="宋体" w:eastAsia="宋体"/>
          <w:bCs/>
          <w:color w:val="auto"/>
          <w:sz w:val="21"/>
          <w:szCs w:val="21"/>
          <w:highlight w:val="auto"/>
        </w:rPr>
        <w:t>______</w:t>
      </w:r>
      <w:r>
        <w:rPr>
          <w:rFonts w:ascii="宋体" w:eastAsia="宋体" w:hint="eastAsia"/>
          <w:bCs/>
          <w:color w:val="auto"/>
          <w:sz w:val="21"/>
          <w:szCs w:val="21"/>
          <w:highlight w:val="auto"/>
        </w:rPr>
        <w:t>年龄：</w:t>
      </w:r>
      <w:r>
        <w:rPr>
          <w:rFonts w:ascii="宋体" w:eastAsia="宋体"/>
          <w:bCs/>
          <w:color w:val="auto"/>
          <w:sz w:val="21"/>
          <w:szCs w:val="21"/>
          <w:highlight w:val="auto"/>
        </w:rPr>
        <w:t>_____</w:t>
      </w:r>
      <w:r>
        <w:rPr>
          <w:rFonts w:ascii="宋体" w:eastAsia="宋体" w:hint="eastAsia"/>
          <w:bCs/>
          <w:color w:val="auto"/>
          <w:sz w:val="21"/>
          <w:szCs w:val="21"/>
          <w:highlight w:val="auto"/>
        </w:rPr>
        <w:t>职务：</w:t>
      </w:r>
      <w:r>
        <w:rPr>
          <w:rFonts w:ascii="宋体" w:eastAsia="宋体"/>
          <w:bCs/>
          <w:color w:val="auto"/>
          <w:sz w:val="21"/>
          <w:szCs w:val="21"/>
          <w:highlight w:val="auto"/>
        </w:rPr>
        <w:t>______</w:t>
      </w:r>
    </w:p>
    <w:p>
      <w:pPr>
        <w:pStyle w:val="15"/>
        <w:spacing w:line="360" w:lineRule="auto"/>
        <w:rPr>
          <w:rFonts w:ascii="宋体" w:eastAsia="宋体"/>
          <w:bCs/>
          <w:color w:val="auto"/>
          <w:sz w:val="21"/>
          <w:szCs w:val="21"/>
          <w:highlight w:val="auto"/>
        </w:rPr>
      </w:pPr>
      <w:r>
        <w:rPr>
          <w:rFonts w:ascii="宋体" w:eastAsia="宋体" w:hint="eastAsia"/>
          <w:bCs/>
          <w:color w:val="auto"/>
          <w:sz w:val="21"/>
          <w:szCs w:val="21"/>
          <w:highlight w:val="auto"/>
        </w:rPr>
        <w:t>系</w:t>
      </w:r>
      <w:r>
        <w:rPr>
          <w:rFonts w:ascii="宋体" w:eastAsia="宋体"/>
          <w:bCs/>
          <w:color w:val="auto"/>
          <w:sz w:val="21"/>
          <w:szCs w:val="21"/>
          <w:highlight w:val="auto"/>
        </w:rPr>
        <w:t>_____________________</w:t>
      </w:r>
      <w:r>
        <w:rPr>
          <w:rFonts w:ascii="宋体" w:eastAsia="宋体" w:hint="eastAsia"/>
          <w:bCs/>
          <w:color w:val="auto"/>
          <w:sz w:val="21"/>
          <w:szCs w:val="21"/>
          <w:highlight w:val="auto"/>
        </w:rPr>
        <w:t>（供应商名称）的法定代表人。</w:t>
      </w:r>
    </w:p>
    <w:p>
      <w:pPr>
        <w:pStyle w:val="15"/>
        <w:spacing w:line="360" w:lineRule="auto"/>
        <w:ind w:firstLineChars="175" w:firstLine="368"/>
        <w:rPr>
          <w:rFonts w:ascii="宋体" w:eastAsia="宋体"/>
          <w:b/>
          <w:bCs/>
          <w:color w:val="auto"/>
          <w:sz w:val="21"/>
          <w:szCs w:val="21"/>
          <w:highlight w:val="auto"/>
        </w:rPr>
      </w:pPr>
      <w:r>
        <w:rPr>
          <w:rFonts w:ascii="宋体" w:eastAsia="宋体"/>
          <w:bCs/>
          <w:color w:val="auto"/>
          <w:sz w:val="21"/>
          <w:szCs w:val="21"/>
          <w:highlight w:val="auto"/>
        </w:rPr>
        <w:t xml:space="preserve">       </w:t>
      </w:r>
      <w:r>
        <w:rPr>
          <w:rFonts w:ascii="宋体" w:eastAsia="宋体" w:hint="eastAsia"/>
          <w:bCs/>
          <w:color w:val="auto"/>
          <w:sz w:val="21"/>
          <w:szCs w:val="21"/>
          <w:highlight w:val="auto"/>
        </w:rPr>
        <w:t>特此证明</w:t>
      </w:r>
    </w:p>
    <w:p>
      <w:pPr>
        <w:pStyle w:val="15"/>
        <w:spacing w:line="360" w:lineRule="auto"/>
        <w:ind w:firstLineChars="1900" w:firstLine="3990"/>
        <w:rPr>
          <w:rFonts w:ascii="宋体" w:eastAsia="宋体"/>
          <w:bCs/>
          <w:color w:val="auto"/>
          <w:sz w:val="21"/>
          <w:szCs w:val="21"/>
          <w:highlight w:val="auto"/>
        </w:rPr>
      </w:pPr>
      <w:r>
        <w:rPr>
          <w:rFonts w:ascii="宋体" w:eastAsia="宋体" w:hint="eastAsia"/>
          <w:bCs/>
          <w:color w:val="auto"/>
          <w:sz w:val="21"/>
          <w:szCs w:val="21"/>
          <w:lang w:val="en-US" w:eastAsia="zh-CN"/>
          <w:highlight w:val="auto"/>
        </w:rPr>
        <w:t>投标人</w:t>
      </w:r>
      <w:r>
        <w:rPr>
          <w:rFonts w:ascii="宋体" w:eastAsia="宋体" w:hint="eastAsia"/>
          <w:bCs/>
          <w:color w:val="auto"/>
          <w:sz w:val="21"/>
          <w:szCs w:val="21"/>
          <w:highlight w:val="auto"/>
        </w:rPr>
        <w:t>：</w:t>
      </w:r>
      <w:r>
        <w:rPr>
          <w:rFonts w:ascii="宋体" w:eastAsia="宋体"/>
          <w:bCs/>
          <w:color w:val="auto"/>
          <w:sz w:val="21"/>
          <w:szCs w:val="21"/>
          <w:highlight w:val="auto"/>
        </w:rPr>
        <w:t>_______________</w:t>
      </w:r>
      <w:r>
        <w:rPr>
          <w:rFonts w:ascii="宋体" w:eastAsia="宋体" w:hint="eastAsia"/>
          <w:bCs/>
          <w:color w:val="auto"/>
          <w:sz w:val="21"/>
          <w:szCs w:val="21"/>
          <w:highlight w:val="auto"/>
        </w:rPr>
        <w:t>（盖单位章）</w:t>
      </w:r>
    </w:p>
    <w:p>
      <w:pPr>
        <w:pStyle w:val="15"/>
        <w:spacing w:line="360" w:lineRule="auto"/>
        <w:ind w:firstLineChars="1950" w:firstLine="4095"/>
        <w:rPr>
          <w:rFonts w:ascii="宋体" w:eastAsia="宋体"/>
          <w:bCs/>
          <w:color w:val="auto"/>
          <w:sz w:val="21"/>
          <w:szCs w:val="21"/>
          <w:highlight w:val="auto"/>
        </w:rPr>
      </w:pPr>
      <w:r>
        <w:rPr>
          <w:rFonts w:ascii="宋体" w:eastAsia="宋体"/>
          <w:bCs/>
          <w:color w:val="auto"/>
          <w:sz w:val="21"/>
          <w:szCs w:val="21"/>
          <w:highlight w:val="auto"/>
        </w:rPr>
        <w:t>_________</w:t>
      </w:r>
      <w:r>
        <w:rPr>
          <w:rFonts w:ascii="宋体" w:eastAsia="宋体" w:hint="eastAsia"/>
          <w:bCs/>
          <w:color w:val="auto"/>
          <w:sz w:val="21"/>
          <w:szCs w:val="21"/>
          <w:highlight w:val="auto"/>
        </w:rPr>
        <w:t>年</w:t>
      </w:r>
      <w:r>
        <w:rPr>
          <w:rFonts w:ascii="宋体" w:eastAsia="宋体"/>
          <w:bCs/>
          <w:color w:val="auto"/>
          <w:sz w:val="21"/>
          <w:szCs w:val="21"/>
          <w:highlight w:val="auto"/>
        </w:rPr>
        <w:t>_________</w:t>
      </w:r>
      <w:r>
        <w:rPr>
          <w:rFonts w:ascii="宋体" w:eastAsia="宋体" w:hint="eastAsia"/>
          <w:bCs/>
          <w:color w:val="auto"/>
          <w:sz w:val="21"/>
          <w:szCs w:val="21"/>
          <w:highlight w:val="auto"/>
        </w:rPr>
        <w:t>月</w:t>
      </w:r>
      <w:r>
        <w:rPr>
          <w:rFonts w:ascii="宋体" w:eastAsia="宋体"/>
          <w:bCs/>
          <w:color w:val="auto"/>
          <w:sz w:val="21"/>
          <w:szCs w:val="21"/>
          <w:highlight w:val="auto"/>
        </w:rPr>
        <w:t>_______</w:t>
      </w:r>
      <w:r>
        <w:rPr>
          <w:rFonts w:ascii="宋体" w:eastAsia="宋体" w:hint="eastAsia"/>
          <w:bCs/>
          <w:color w:val="auto"/>
          <w:sz w:val="21"/>
          <w:szCs w:val="21"/>
          <w:highlight w:val="auto"/>
        </w:rPr>
        <w:t>日</w:t>
      </w:r>
    </w:p>
    <w:p>
      <w:pPr>
        <w:pStyle w:val="15"/>
        <w:spacing w:line="360" w:lineRule="auto"/>
        <w:ind w:firstLineChars="1950" w:firstLine="4095"/>
        <w:rPr>
          <w:rFonts w:ascii="宋体" w:eastAsia="宋体"/>
          <w:bCs/>
          <w:color w:val="auto"/>
          <w:sz w:val="21"/>
          <w:szCs w:val="21"/>
          <w:highlight w:val="auto"/>
        </w:r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20"/>
      </w:tblGrid>
      <w:tr>
        <w:trPr>
          <w:trHeight w:val="4060"/>
        </w:trPr>
        <w:tc>
          <w:tcPr>
            <w:tcW w:w="8720" w:type="dxa"/>
          </w:tcPr>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r>
              <w:rPr>
                <w:rFonts w:ascii="宋体" w:eastAsia="宋体" w:hint="eastAsia"/>
                <w:bCs/>
                <w:color w:val="auto"/>
                <w:sz w:val="24"/>
                <w:szCs w:val="24"/>
                <w:highlight w:val="auto"/>
              </w:rPr>
              <w:t>法定代表人有效、清晰身份证复印件或扫描件</w:t>
            </w:r>
          </w:p>
          <w:p>
            <w:pPr>
              <w:pStyle w:val="15"/>
              <w:spacing w:line="360" w:lineRule="auto"/>
              <w:ind w:firstLine="0"/>
              <w:jc w:val="center"/>
              <w:rPr>
                <w:rFonts w:ascii="宋体" w:eastAsia="宋体"/>
                <w:b/>
                <w:bCs/>
                <w:color w:val="auto"/>
                <w:sz w:val="24"/>
                <w:szCs w:val="24"/>
                <w:highlight w:val="auto"/>
              </w:rPr>
            </w:pPr>
            <w:r>
              <w:rPr>
                <w:rFonts w:ascii="宋体" w:eastAsia="宋体" w:hint="eastAsia"/>
                <w:b/>
                <w:bCs/>
                <w:color w:val="auto"/>
                <w:sz w:val="24"/>
                <w:szCs w:val="24"/>
                <w:highlight w:val="auto"/>
              </w:rPr>
              <w:t>粘贴或扫描处</w:t>
            </w: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tc>
      </w:tr>
    </w:tbl>
    <w:p>
      <w:pPr>
        <w:pStyle w:val="15"/>
        <w:spacing w:line="360" w:lineRule="auto"/>
        <w:ind w:firstLineChars="1950" w:firstLine="4680"/>
        <w:rPr>
          <w:rFonts w:ascii="宋体" w:eastAsia="宋体"/>
          <w:bCs/>
          <w:color w:val="auto"/>
          <w:sz w:val="24"/>
          <w:szCs w:val="24"/>
          <w:highlight w:val="auto"/>
        </w:rPr>
      </w:pPr>
    </w:p>
    <w:p>
      <w:pPr>
        <w:pStyle w:val="15"/>
        <w:spacing w:line="360" w:lineRule="auto"/>
        <w:ind w:firstLineChars="1950" w:firstLine="4680"/>
        <w:rPr>
          <w:rFonts w:ascii="宋体" w:eastAsia="宋体"/>
          <w:bCs/>
          <w:color w:val="auto"/>
          <w:sz w:val="24"/>
          <w:szCs w:val="24"/>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b w:val="0"/>
          <w:color w:val="auto"/>
          <w:sz w:val="24"/>
          <w:szCs w:val="24"/>
          <w:highlight w:val="auto"/>
        </w:rPr>
      </w:pPr>
      <w:r>
        <w:rPr>
          <w:rFonts w:ascii="宋体" w:eastAsia="宋体"/>
          <w:color w:val="auto"/>
          <w:sz w:val="24"/>
          <w:szCs w:val="24"/>
          <w:highlight w:val="auto"/>
        </w:rPr>
        <w:t>6.</w:t>
      </w:r>
      <w:r>
        <w:rPr>
          <w:rFonts w:ascii="宋体" w:eastAsia="宋体" w:hint="eastAsia"/>
          <w:color w:val="auto"/>
          <w:sz w:val="24"/>
          <w:szCs w:val="24"/>
          <w:lang w:val="en-US" w:eastAsia="zh-CN"/>
          <w:highlight w:val="auto"/>
        </w:rPr>
        <w:t>10</w:t>
      </w:r>
      <w:r>
        <w:rPr>
          <w:rFonts w:ascii="宋体" w:eastAsia="宋体" w:hint="eastAsia"/>
          <w:color w:val="auto"/>
          <w:sz w:val="24"/>
          <w:szCs w:val="24"/>
          <w:highlight w:val="auto"/>
        </w:rPr>
        <w:t>法定代表人授权书</w:t>
      </w:r>
    </w:p>
    <w:p>
      <w:pPr>
        <w:pStyle w:val="15"/>
        <w:spacing w:line="240" w:lineRule="auto"/>
        <w:rPr>
          <w:rFonts w:ascii="宋体" w:eastAsia="宋体"/>
          <w:color w:val="auto"/>
          <w:sz w:val="24"/>
          <w:szCs w:val="24"/>
          <w:highlight w:val="auto"/>
        </w:rPr>
      </w:pPr>
    </w:p>
    <w:p>
      <w:pPr>
        <w:jc w:val="center"/>
        <w:rPr>
          <w:rFonts w:ascii="宋体"/>
          <w:b/>
          <w:color w:val="auto"/>
          <w:sz w:val="24"/>
          <w:highlight w:val="auto"/>
        </w:rPr>
      </w:pPr>
      <w:r>
        <w:rPr>
          <w:rFonts w:ascii="宋体" w:hint="eastAsia"/>
          <w:b/>
          <w:color w:val="auto"/>
          <w:sz w:val="24"/>
          <w:highlight w:val="auto"/>
        </w:rPr>
        <w:t>法定代表人授权委托书</w:t>
      </w:r>
    </w:p>
    <w:p>
      <w:pPr>
        <w:jc w:val="center"/>
        <w:rPr>
          <w:rFonts w:ascii="宋体"/>
          <w:b/>
          <w:bCs/>
          <w:color w:val="auto"/>
          <w:sz w:val="24"/>
          <w:highlight w:val="auto"/>
        </w:rPr>
      </w:pPr>
    </w:p>
    <w:p>
      <w:pPr>
        <w:spacing w:line="360" w:lineRule="auto"/>
        <w:rPr>
          <w:rFonts w:ascii="宋体"/>
          <w:b/>
          <w:bCs/>
          <w:color w:val="auto"/>
          <w:sz w:val="24"/>
          <w:u w:val="single"/>
          <w:highlight w:val="auto"/>
        </w:rPr>
      </w:pPr>
      <w:r>
        <w:rPr>
          <w:rFonts w:ascii="宋体" w:hint="eastAsia"/>
          <w:b/>
          <w:bCs/>
          <w:color w:val="auto"/>
          <w:kern w:val="11"/>
          <w:sz w:val="24"/>
          <w:u w:val="single"/>
          <w:highlight w:val="auto"/>
        </w:rPr>
        <w:t>（采购人）</w:t>
      </w:r>
      <w:r>
        <w:rPr>
          <w:rFonts w:ascii="宋体" w:hint="eastAsia"/>
          <w:b/>
          <w:bCs/>
          <w:color w:val="auto"/>
          <w:sz w:val="24"/>
          <w:u w:val="single"/>
          <w:highlight w:val="auto"/>
        </w:rPr>
        <w:t>：</w:t>
      </w:r>
    </w:p>
    <w:p>
      <w:pPr>
        <w:spacing w:line="360" w:lineRule="auto"/>
        <w:ind w:firstLineChars="200" w:firstLine="420"/>
        <w:rPr>
          <w:rFonts w:ascii="宋体"/>
          <w:color w:val="auto"/>
          <w:szCs w:val="21"/>
          <w:highlight w:val="auto"/>
        </w:rPr>
      </w:pPr>
      <w:r>
        <w:rPr>
          <w:rFonts w:ascii="宋体"/>
          <w:color w:val="auto"/>
          <w:szCs w:val="21"/>
          <w:u w:val="single"/>
          <w:highlight w:val="auto"/>
        </w:rPr>
        <w:t xml:space="preserve">                    </w:t>
      </w:r>
      <w:r>
        <w:rPr>
          <w:rFonts w:ascii="宋体" w:hint="eastAsia"/>
          <w:color w:val="auto"/>
          <w:szCs w:val="21"/>
          <w:highlight w:val="auto"/>
        </w:rPr>
        <w:t>（供应商名称）法定代表人</w:t>
      </w:r>
      <w:r>
        <w:rPr>
          <w:rFonts w:ascii="宋体"/>
          <w:color w:val="auto"/>
          <w:szCs w:val="21"/>
          <w:u w:val="single"/>
          <w:highlight w:val="auto"/>
        </w:rPr>
        <w:t xml:space="preserve">            </w:t>
      </w:r>
      <w:r>
        <w:rPr>
          <w:rFonts w:ascii="宋体" w:hint="eastAsia"/>
          <w:color w:val="auto"/>
          <w:szCs w:val="21"/>
          <w:highlight w:val="auto"/>
        </w:rPr>
        <w:t>授权我单位（职务或职称）</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（姓名）为我单位本次投标授权代理人，全权处理</w:t>
      </w:r>
      <w:r>
        <w:rPr>
          <w:rFonts w:ascii="宋体"/>
          <w:color w:val="auto"/>
          <w:szCs w:val="21"/>
          <w:u w:val="single"/>
          <w:highlight w:val="auto"/>
        </w:rPr>
        <w:t xml:space="preserve">                  </w:t>
      </w:r>
      <w:r>
        <w:rPr>
          <w:rFonts w:ascii="宋体" w:hint="eastAsia"/>
          <w:color w:val="auto"/>
          <w:szCs w:val="21"/>
          <w:u w:val="single"/>
          <w:highlight w:val="auto"/>
        </w:rPr>
        <w:t>招标</w:t>
      </w:r>
      <w:r>
        <w:rPr>
          <w:rFonts w:ascii="宋体" w:hint="eastAsia"/>
          <w:color w:val="auto"/>
          <w:szCs w:val="21"/>
          <w:highlight w:val="auto"/>
        </w:rPr>
        <w:t>采购项目投标活动的一切事宜。该授权代理人作出的所有承诺说明，我单位均予于认可并承担全部责任。</w:t>
      </w:r>
    </w:p>
    <w:p>
      <w:pPr>
        <w:spacing w:line="360" w:lineRule="auto"/>
        <w:ind w:firstLineChars="300" w:firstLine="630"/>
        <w:rPr>
          <w:rFonts w:ascii="宋体"/>
          <w:color w:val="auto"/>
          <w:szCs w:val="21"/>
          <w:highlight w:val="auto"/>
        </w:rPr>
      </w:pPr>
      <w:r>
        <w:rPr>
          <w:rFonts w:ascii="宋体" w:hint="eastAsia"/>
          <w:color w:val="auto"/>
          <w:szCs w:val="21"/>
          <w:highlight w:val="auto"/>
        </w:rPr>
        <w:t>特此授权。有效期同投标有效期。</w:t>
      </w:r>
    </w:p>
    <w:p>
      <w:pPr>
        <w:spacing w:line="360" w:lineRule="auto"/>
        <w:ind w:firstLineChars="300" w:firstLine="630"/>
        <w:rPr>
          <w:rFonts w:ascii="宋体"/>
          <w:color w:val="auto"/>
          <w:szCs w:val="21"/>
          <w:highlight w:val="auto"/>
        </w:rPr>
      </w:pPr>
      <w:r>
        <w:rPr>
          <w:rFonts w:ascii="宋体"/>
          <w:color w:val="auto"/>
          <w:szCs w:val="21"/>
          <w:highlight w:val="auto"/>
        </w:rPr>
        <w:t xml:space="preserve">           </w:t>
      </w:r>
      <w:r>
        <w:rPr>
          <w:rFonts w:ascii="宋体" w:hint="eastAsia"/>
          <w:color w:val="auto"/>
          <w:szCs w:val="21"/>
          <w:lang w:val="en-US" w:eastAsia="zh-CN"/>
          <w:highlight w:val="auto"/>
        </w:rPr>
        <w:t>投标人</w:t>
      </w:r>
      <w:r>
        <w:rPr>
          <w:rFonts w:ascii="宋体" w:hint="eastAsia"/>
          <w:color w:val="auto"/>
          <w:szCs w:val="21"/>
          <w:highlight w:val="auto"/>
        </w:rPr>
        <w:t>名称：</w:t>
      </w:r>
      <w:r>
        <w:rPr>
          <w:rFonts w:ascii="宋体"/>
          <w:color w:val="auto"/>
          <w:szCs w:val="21"/>
          <w:u w:val="single"/>
          <w:highlight w:val="auto"/>
        </w:rPr>
        <w:t xml:space="preserve">                           </w:t>
      </w:r>
      <w:r>
        <w:rPr>
          <w:rFonts w:ascii="宋体" w:hint="eastAsia"/>
          <w:color w:val="auto"/>
          <w:szCs w:val="21"/>
          <w:highlight w:val="auto"/>
        </w:rPr>
        <w:t>（盖单位章）</w:t>
      </w:r>
    </w:p>
    <w:p>
      <w:pPr>
        <w:spacing w:line="360" w:lineRule="auto"/>
        <w:ind w:firstLineChars="300" w:firstLine="630"/>
        <w:rPr>
          <w:rFonts w:ascii="宋体"/>
          <w:color w:val="auto"/>
          <w:szCs w:val="21"/>
          <w:highlight w:val="auto"/>
        </w:rPr>
      </w:pPr>
      <w:r>
        <w:rPr>
          <w:rFonts w:ascii="宋体"/>
          <w:color w:val="auto"/>
          <w:szCs w:val="21"/>
          <w:highlight w:val="auto"/>
        </w:rPr>
        <w:t xml:space="preserve">           </w:t>
      </w:r>
      <w:r>
        <w:rPr>
          <w:rFonts w:ascii="宋体" w:hint="eastAsia"/>
          <w:color w:val="auto"/>
          <w:szCs w:val="21"/>
          <w:highlight w:val="auto"/>
        </w:rPr>
        <w:t>法定代表人：</w:t>
      </w:r>
      <w:r>
        <w:rPr>
          <w:rFonts w:ascii="宋体"/>
          <w:color w:val="auto"/>
          <w:szCs w:val="21"/>
          <w:u w:val="single"/>
          <w:highlight w:val="auto"/>
        </w:rPr>
        <w:t xml:space="preserve">                             </w:t>
      </w:r>
      <w:r>
        <w:rPr>
          <w:rFonts w:ascii="宋体" w:hint="eastAsia"/>
          <w:color w:val="auto"/>
          <w:szCs w:val="21"/>
          <w:highlight w:val="auto"/>
        </w:rPr>
        <w:t>（签字或盖章）</w:t>
      </w:r>
    </w:p>
    <w:p>
      <w:pPr>
        <w:wordWrap w:val="0"/>
        <w:spacing w:after="120" w:line="360" w:lineRule="auto"/>
        <w:ind w:right="240"/>
        <w:jc w:val="right"/>
        <w:rPr>
          <w:rFonts w:ascii="宋体"/>
          <w:color w:val="auto"/>
          <w:szCs w:val="21"/>
          <w:highlight w:val="auto"/>
        </w:rPr>
      </w:pPr>
      <w:r>
        <w:rPr>
          <w:rFonts w:ascii="宋体" w:hint="eastAsia"/>
          <w:color w:val="auto"/>
          <w:szCs w:val="21"/>
          <w:highlight w:val="auto"/>
        </w:rPr>
        <w:t xml:space="preserve">     委托代理人：</w:t>
      </w:r>
      <w:r>
        <w:rPr>
          <w:rFonts w:ascii="宋体"/>
          <w:color w:val="auto"/>
          <w:szCs w:val="21"/>
          <w:u w:val="single"/>
          <w:highlight w:val="auto"/>
        </w:rPr>
        <w:t xml:space="preserve">                     </w:t>
      </w:r>
      <w:r>
        <w:rPr>
          <w:rFonts w:ascii="宋体" w:hint="eastAsia"/>
          <w:color w:val="auto"/>
          <w:szCs w:val="21"/>
          <w:highlight w:val="auto"/>
        </w:rPr>
        <w:t>（签字签字或盖章）</w:t>
      </w:r>
      <w:r>
        <w:rPr>
          <w:rFonts w:ascii="宋体"/>
          <w:color w:val="auto"/>
          <w:szCs w:val="21"/>
          <w:highlight w:val="auto"/>
        </w:rPr>
        <w:t xml:space="preserve">          </w:t>
      </w:r>
    </w:p>
    <w:p>
      <w:pPr>
        <w:wordWrap w:val="0"/>
        <w:spacing w:after="120" w:line="360" w:lineRule="auto"/>
        <w:jc w:val="right"/>
        <w:rPr>
          <w:rFonts w:ascii="宋体"/>
          <w:color w:val="auto"/>
          <w:szCs w:val="21"/>
          <w:highlight w:val="auto"/>
        </w:rPr>
      </w:pPr>
      <w:r>
        <w:rPr>
          <w:rFonts w:ascii="宋体"/>
          <w:color w:val="auto"/>
          <w:szCs w:val="21"/>
          <w:u w:val="single"/>
          <w:highlight w:val="auto"/>
        </w:rPr>
        <w:t xml:space="preserve">       </w:t>
      </w:r>
      <w:r>
        <w:rPr>
          <w:rFonts w:ascii="宋体" w:hint="eastAsia"/>
          <w:color w:val="auto"/>
          <w:szCs w:val="21"/>
          <w:highlight w:val="auto"/>
        </w:rPr>
        <w:t>年</w:t>
      </w:r>
      <w:r>
        <w:rPr>
          <w:rFonts w:ascii="宋体"/>
          <w:color w:val="auto"/>
          <w:szCs w:val="21"/>
          <w:u w:val="single"/>
          <w:highlight w:val="auto"/>
        </w:rPr>
        <w:t xml:space="preserve">       </w:t>
      </w:r>
      <w:r>
        <w:rPr>
          <w:rFonts w:ascii="宋体" w:hint="eastAsia"/>
          <w:color w:val="auto"/>
          <w:szCs w:val="21"/>
          <w:highlight w:val="auto"/>
        </w:rPr>
        <w:t>月</w:t>
      </w:r>
      <w:r>
        <w:rPr>
          <w:rFonts w:ascii="宋体"/>
          <w:color w:val="auto"/>
          <w:szCs w:val="21"/>
          <w:u w:val="single"/>
          <w:highlight w:val="auto"/>
        </w:rPr>
        <w:t xml:space="preserve">       </w:t>
      </w:r>
      <w:r>
        <w:rPr>
          <w:rFonts w:ascii="宋体" w:hint="eastAsia"/>
          <w:color w:val="auto"/>
          <w:szCs w:val="21"/>
          <w:highlight w:val="auto"/>
        </w:rPr>
        <w:t>日</w:t>
      </w:r>
      <w:r>
        <w:rPr>
          <w:rFonts w:ascii="宋体"/>
          <w:color w:val="auto"/>
          <w:szCs w:val="21"/>
          <w:highlight w:val="auto"/>
        </w:rPr>
        <w:t xml:space="preserve">                                      </w:t>
      </w:r>
    </w:p>
    <w:tbl>
      <w:tblPr>
        <w:tblpPr w:leftFromText="180" w:rightFromText="180" w:vertAnchor="text" w:horzAnchor="margin" w:tblpXSpec="left" w:tblpY="259"/>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20"/>
      </w:tblGrid>
      <w:tr>
        <w:trPr>
          <w:trHeight w:val="4360"/>
        </w:trPr>
        <w:tc>
          <w:tcPr>
            <w:tcW w:w="8720" w:type="dxa"/>
          </w:tcPr>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p>
          <w:p>
            <w:pPr>
              <w:pStyle w:val="15"/>
              <w:spacing w:line="360" w:lineRule="auto"/>
              <w:ind w:firstLine="0"/>
              <w:jc w:val="center"/>
              <w:rPr>
                <w:rFonts w:ascii="宋体" w:eastAsia="宋体"/>
                <w:bCs/>
                <w:color w:val="auto"/>
                <w:sz w:val="24"/>
                <w:szCs w:val="24"/>
                <w:highlight w:val="auto"/>
              </w:rPr>
            </w:pPr>
            <w:r>
              <w:rPr>
                <w:rFonts w:ascii="宋体" w:eastAsia="宋体" w:hint="eastAsia"/>
                <w:bCs/>
                <w:color w:val="auto"/>
                <w:sz w:val="24"/>
                <w:szCs w:val="24"/>
                <w:highlight w:val="auto"/>
              </w:rPr>
              <w:t>授权代理人有效、清晰身份证复印件或扫描件</w:t>
            </w:r>
          </w:p>
          <w:p>
            <w:pPr>
              <w:pStyle w:val="15"/>
              <w:spacing w:line="360" w:lineRule="auto"/>
              <w:ind w:firstLine="0"/>
              <w:jc w:val="center"/>
              <w:rPr>
                <w:rFonts w:ascii="宋体" w:eastAsia="宋体"/>
                <w:b/>
                <w:bCs/>
                <w:color w:val="auto"/>
                <w:sz w:val="24"/>
                <w:szCs w:val="24"/>
                <w:highlight w:val="auto"/>
              </w:rPr>
            </w:pPr>
            <w:r>
              <w:rPr>
                <w:rFonts w:ascii="宋体" w:eastAsia="宋体" w:hint="eastAsia"/>
                <w:b/>
                <w:bCs/>
                <w:color w:val="auto"/>
                <w:sz w:val="24"/>
                <w:szCs w:val="24"/>
                <w:highlight w:val="auto"/>
              </w:rPr>
              <w:t>粘贴或扫描处</w:t>
            </w:r>
          </w:p>
          <w:p>
            <w:pPr>
              <w:pStyle w:val="15"/>
              <w:spacing w:line="360" w:lineRule="auto"/>
              <w:ind w:firstLine="0"/>
              <w:jc w:val="both"/>
              <w:rPr>
                <w:rFonts w:ascii="宋体" w:eastAsia="宋体"/>
                <w:bCs/>
                <w:color w:val="auto"/>
                <w:sz w:val="24"/>
                <w:szCs w:val="24"/>
                <w:highlight w:val="auto"/>
              </w:rPr>
            </w:pPr>
          </w:p>
          <w:p>
            <w:pPr>
              <w:pStyle w:val="15"/>
              <w:spacing w:line="360" w:lineRule="auto"/>
              <w:ind w:firstLine="0"/>
              <w:jc w:val="both"/>
              <w:rPr>
                <w:rFonts w:ascii="宋体" w:eastAsia="宋体"/>
                <w:bCs/>
                <w:color w:val="auto"/>
                <w:sz w:val="24"/>
                <w:szCs w:val="24"/>
                <w:highlight w:val="auto"/>
              </w:rPr>
            </w:pPr>
          </w:p>
          <w:p>
            <w:pPr>
              <w:pStyle w:val="15"/>
              <w:spacing w:line="360" w:lineRule="auto"/>
              <w:ind w:firstLine="0"/>
              <w:jc w:val="both"/>
              <w:rPr>
                <w:rFonts w:ascii="宋体" w:eastAsia="宋体"/>
                <w:bCs/>
                <w:color w:val="auto"/>
                <w:sz w:val="24"/>
                <w:szCs w:val="24"/>
                <w:highlight w:val="auto"/>
              </w:rPr>
            </w:pPr>
          </w:p>
        </w:tc>
      </w:tr>
    </w:tbl>
    <w:p>
      <w:pPr>
        <w:spacing w:after="120" w:line="360" w:lineRule="auto"/>
        <w:jc w:val="right"/>
        <w:rPr>
          <w:rFonts w:ascii="宋体"/>
          <w:color w:val="auto"/>
          <w:sz w:val="24"/>
          <w:highlight w:val="auto"/>
        </w:rPr>
        <w:sectPr>
          <w:footerReference w:type="default" r:id="rId13"/>
          <w:pgSz w:w="11906" w:h="16838"/>
          <w:pgMar w:top="1588" w:right="1701" w:bottom="1588" w:left="1701" w:header="851" w:footer="992" w:gutter="0"/>
          <w:docGrid w:type="linesAndChars" w:linePitch="380" w:charSpace="0"/>
        </w:sectPr>
      </w:pPr>
    </w:p>
    <w:p>
      <w:pPr>
        <w:snapToGrid w:val="0"/>
        <w:ind w:rightChars="20" w:right="42" w:firstLineChars="200" w:firstLine="420"/>
        <w:jc w:val="left"/>
        <w:rPr>
          <w:rFonts w:ascii="微软雅黑" w:eastAsia="微软雅黑"/>
          <w:b/>
          <w:color w:val="auto"/>
          <w:szCs w:val="21"/>
          <w:highlight w:val="auto"/>
        </w:rPr>
      </w:pPr>
      <w:r>
        <w:rPr>
          <w:rFonts w:cs="宋体" w:hint="eastAsia"/>
          <w:color w:val="auto"/>
          <w:szCs w:val="28"/>
          <w:lang w:val="en-US" w:eastAsia="zh-CN"/>
          <w:highlight w:val="auto"/>
        </w:rPr>
        <w:t>6.11</w:t>
      </w:r>
      <w:r>
        <w:rPr>
          <w:rFonts w:ascii="微软雅黑" w:eastAsia="微软雅黑" w:hint="eastAsia"/>
          <w:b/>
          <w:color w:val="auto"/>
          <w:szCs w:val="21"/>
          <w:highlight w:val="auto"/>
        </w:rPr>
        <w:t>廉政承诺书格式：</w:t>
      </w:r>
    </w:p>
    <w:p>
      <w:pPr>
        <w:pStyle w:val="2"/>
        <w:numPr>
          <w:ilvl w:val="0"/>
          <w:numId w:val="0"/>
        </w:numPr>
        <w:tabs>
          <w:tab w:val="clear" w:pos="567"/>
          <w:tab w:val="left" w:pos="425"/>
        </w:tabs>
        <w:ind w:rightChars="20" w:right="42"/>
        <w:contextualSpacing/>
        <w:jc w:val="center"/>
        <w:rPr>
          <w:rFonts w:ascii="微软雅黑" w:eastAsia="微软雅黑" w:cs="Times New Roman" w:hint="eastAsia"/>
          <w:b/>
          <w:color w:val="auto"/>
          <w:kern w:val="2"/>
          <w:sz w:val="21"/>
          <w:szCs w:val="21"/>
          <w:lang w:val="en-US" w:eastAsia="zh-CN" w:bidi="ar-SA"/>
          <w:highlight w:val="auto"/>
        </w:rPr>
      </w:pPr>
      <w:r>
        <w:rPr>
          <w:rFonts w:ascii="微软雅黑" w:eastAsia="微软雅黑" w:cs="Times New Roman" w:hint="eastAsia"/>
          <w:b/>
          <w:color w:val="auto"/>
          <w:kern w:val="2"/>
          <w:sz w:val="21"/>
          <w:szCs w:val="21"/>
          <w:lang w:val="en-US" w:eastAsia="zh-CN" w:bidi="ar-SA"/>
          <w:highlight w:val="auto"/>
        </w:rPr>
        <w:t>廉政承诺书</w:t>
      </w:r>
    </w:p>
    <w:p>
      <w:pPr>
        <w:autoSpaceDE w:val="0"/>
        <w:autoSpaceDN w:val="0"/>
        <w:adjustRightInd w:val="0"/>
        <w:spacing w:line="360" w:lineRule="auto"/>
        <w:ind w:rightChars="20" w:right="42"/>
        <w:contextualSpacing/>
        <w:rPr>
          <w:rFonts w:ascii="宋体" w:cs="宋体"/>
          <w:color w:val="auto"/>
          <w:kern w:val="0"/>
          <w:szCs w:val="21"/>
          <w:lang w:val="zh-CN"/>
          <w:highlight w:val="auto"/>
        </w:rPr>
      </w:pPr>
      <w:r>
        <w:rPr>
          <w:rFonts w:ascii="宋体" w:cs="宋体" w:hint="eastAsia"/>
          <w:color w:val="auto"/>
          <w:szCs w:val="21"/>
          <w:highlight w:val="auto"/>
        </w:rPr>
        <w:t>致：（招标采购单位名称）</w:t>
      </w:r>
    </w:p>
    <w:p>
      <w:pPr>
        <w:autoSpaceDE w:val="0"/>
        <w:autoSpaceDN w:val="0"/>
        <w:adjustRightInd w:val="0"/>
        <w:spacing w:line="360" w:lineRule="auto"/>
        <w:ind w:rightChars="20" w:right="42" w:firstLineChars="200" w:firstLine="420"/>
        <w:contextualSpacing/>
        <w:rPr>
          <w:rFonts w:ascii="宋体" w:cs="宋体"/>
          <w:color w:val="auto"/>
          <w:kern w:val="0"/>
          <w:szCs w:val="21"/>
          <w:highlight w:val="auto"/>
        </w:rPr>
      </w:pPr>
      <w:r>
        <w:rPr>
          <w:rFonts w:ascii="宋体" w:cs="宋体" w:hint="eastAsia"/>
          <w:color w:val="auto"/>
          <w:kern w:val="0"/>
          <w:szCs w:val="21"/>
          <w:lang w:val="zh-CN"/>
          <w:highlight w:val="auto"/>
        </w:rPr>
        <w:t>我单位响应项目采购要求参加投标。在这次投标过程中和中标后，我们将严格遵守国家法律法规的要求，并郑重承诺：</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一、不向项目有关人员及部门赠送礼金礼物、有价证券、回扣以及中介费、介绍费、咨询费等好处费；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二、不为项目有关人员及部门报销应由你方单位或个人支付的费用；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三、不向项目有关人员及部门提供有可能影响公正的宴请和健身娱乐等活动；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四、不为项目有关人员及部门出国（境）、旅游等提供方便；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 xml:space="preserve">五、不为项目有关人员个人装修住房、婚丧嫁娶、配偶子女工作安排等提供好处；    </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六、严格遵守政府采购法、招标投标法、合同法等法律，诚实守信，合法经营，坚决抵制各种违法违纪行为。</w:t>
      </w:r>
    </w:p>
    <w:p>
      <w:pPr>
        <w:autoSpaceDE w:val="0"/>
        <w:autoSpaceDN w:val="0"/>
        <w:adjustRightInd w:val="0"/>
        <w:spacing w:line="360" w:lineRule="auto"/>
        <w:ind w:rightChars="20" w:right="42" w:firstLineChars="200" w:firstLine="420"/>
        <w:contextualSpacing/>
        <w:rPr>
          <w:rFonts w:ascii="宋体"/>
          <w:color w:val="auto"/>
          <w:szCs w:val="21"/>
          <w:highlight w:val="auto"/>
        </w:rPr>
      </w:pPr>
      <w:r>
        <w:rPr>
          <w:rFonts w:ascii="宋体" w:hint="eastAsia"/>
          <w:color w:val="auto"/>
          <w:szCs w:val="21"/>
          <w:highlight w:val="auto"/>
        </w:rPr>
        <w:t>如违反上述承诺，你单位有权立即取消我单位投标、中标或在建项目的建设资格，有权拒绝我单位在一定时期内进入你单位进行项目建设或其他经营活动，并通报政府采购监督管理部门。由此引起的相应损失均由我单位承担。</w:t>
      </w:r>
    </w:p>
    <w:p>
      <w:pPr>
        <w:tabs>
          <w:tab w:val="left" w:pos="1418"/>
        </w:tabs>
        <w:spacing w:line="360" w:lineRule="auto"/>
        <w:ind w:rightChars="20" w:right="42"/>
        <w:contextualSpacing/>
        <w:rPr>
          <w:rFonts w:ascii="宋体"/>
          <w:color w:val="auto"/>
          <w:szCs w:val="21"/>
          <w:highlight w:val="auto"/>
        </w:rPr>
      </w:pPr>
    </w:p>
    <w:p>
      <w:pPr>
        <w:pStyle w:val="99"/>
        <w:adjustRightInd w:val="0"/>
        <w:snapToGrid w:val="0"/>
        <w:spacing w:line="360" w:lineRule="auto"/>
        <w:ind w:rightChars="20" w:right="42"/>
        <w:jc w:val="left"/>
        <w:rPr>
          <w:rFonts w:ascii="宋体" w:eastAsia="宋体"/>
          <w:color w:val="auto"/>
          <w:sz w:val="21"/>
          <w:szCs w:val="21"/>
          <w:highlight w:val="auto"/>
        </w:rPr>
      </w:pPr>
      <w:r>
        <w:rPr>
          <w:rFonts w:ascii="宋体" w:eastAsia="宋体" w:hint="eastAsia"/>
          <w:color w:val="auto"/>
          <w:sz w:val="21"/>
          <w:szCs w:val="21"/>
          <w:highlight w:val="auto"/>
        </w:rPr>
        <w:t>法定代表人或其授权代表签字（或盖章）</w:t>
      </w:r>
      <w:r>
        <w:rPr>
          <w:rFonts w:ascii="宋体" w:eastAsia="宋体"/>
          <w:color w:val="auto"/>
          <w:sz w:val="21"/>
          <w:szCs w:val="21"/>
          <w:highlight w:val="auto"/>
        </w:rPr>
        <w:t>：</w:t>
      </w:r>
    </w:p>
    <w:p>
      <w:pPr>
        <w:tabs>
          <w:tab w:val="left" w:pos="1418"/>
        </w:tabs>
        <w:spacing w:line="360" w:lineRule="auto"/>
        <w:ind w:rightChars="20" w:right="42"/>
        <w:contextualSpacing/>
        <w:rPr>
          <w:rFonts w:ascii="宋体"/>
          <w:color w:val="auto"/>
          <w:szCs w:val="21"/>
          <w:highlight w:val="auto"/>
        </w:rPr>
      </w:pPr>
    </w:p>
    <w:p>
      <w:pPr>
        <w:tabs>
          <w:tab w:val="left" w:pos="1418"/>
        </w:tabs>
        <w:spacing w:line="360" w:lineRule="auto"/>
        <w:ind w:rightChars="20" w:right="42"/>
        <w:contextualSpacing/>
        <w:rPr>
          <w:rFonts w:ascii="宋体"/>
          <w:color w:val="auto"/>
          <w:szCs w:val="21"/>
          <w:highlight w:val="auto"/>
        </w:rPr>
      </w:pPr>
      <w:r>
        <w:rPr>
          <w:rFonts w:ascii="宋体" w:hint="eastAsia"/>
          <w:color w:val="auto"/>
          <w:szCs w:val="21"/>
          <w:shd w:val="clear" w:color="auto" w:fill="FFFFFF"/>
          <w:highlight w:val="auto"/>
        </w:rPr>
        <w:t>投标人名称：（盖章）</w:t>
      </w:r>
      <w:r>
        <w:rPr>
          <w:rFonts w:ascii="宋体" w:hint="eastAsia"/>
          <w:color w:val="auto"/>
          <w:szCs w:val="21"/>
          <w:highlight w:val="auto"/>
        </w:rPr>
        <w:t xml:space="preserve">                           </w:t>
      </w:r>
    </w:p>
    <w:p>
      <w:pPr>
        <w:tabs>
          <w:tab w:val="left" w:pos="1418"/>
        </w:tabs>
        <w:spacing w:line="360" w:lineRule="auto"/>
        <w:ind w:rightChars="20" w:right="42"/>
        <w:contextualSpacing/>
        <w:rPr>
          <w:rFonts w:ascii="宋体" w:cs="宋体"/>
          <w:bCs/>
          <w:color w:val="auto"/>
          <w:szCs w:val="21"/>
          <w:highlight w:val="auto"/>
        </w:rPr>
      </w:pPr>
    </w:p>
    <w:p>
      <w:pPr>
        <w:tabs>
          <w:tab w:val="left" w:pos="1418"/>
        </w:tabs>
        <w:spacing w:line="360" w:lineRule="auto"/>
        <w:ind w:rightChars="20" w:right="42"/>
        <w:contextualSpacing/>
        <w:jc w:val="right"/>
        <w:rPr>
          <w:rFonts w:ascii="宋体" w:cs="宋体"/>
          <w:b/>
          <w:bCs/>
          <w:color w:val="auto"/>
          <w:szCs w:val="21"/>
          <w:highlight w:val="auto"/>
        </w:rPr>
      </w:pPr>
      <w:r>
        <w:rPr>
          <w:rFonts w:ascii="宋体" w:cs="宋体" w:hint="eastAsia"/>
          <w:bCs/>
          <w:color w:val="auto"/>
          <w:szCs w:val="21"/>
          <w:highlight w:val="auto"/>
        </w:rPr>
        <w:t xml:space="preserve">  年  月  日</w:t>
      </w:r>
    </w:p>
    <w:p>
      <w:pPr>
        <w:pStyle w:val="1"/>
        <w:spacing w:line="360" w:lineRule="auto"/>
        <w:ind w:rightChars="20" w:right="42"/>
        <w:contextualSpacing/>
        <w:rPr>
          <w:color w:val="auto"/>
          <w:highlight w:val="auto"/>
        </w:rPr>
        <w:sectPr>
          <w:headerReference w:type="default" r:id="rId14"/>
          <w:footerReference w:type="default" r:id="rId15"/>
          <w:pgSz w:w="11906" w:h="16838"/>
          <w:pgMar w:top="1474" w:right="1842" w:bottom="1247" w:left="1797" w:header="851" w:footer="851" w:gutter="0"/>
          <w:docGrid w:linePitch="312" w:charSpace="0"/>
        </w:sectPr>
      </w:pPr>
    </w:p>
    <w:p>
      <w:pPr>
        <w:snapToGrid w:val="0"/>
        <w:spacing w:line="360" w:lineRule="auto"/>
        <w:ind w:firstLineChars="200" w:firstLine="480"/>
        <w:jc w:val="left"/>
        <w:rPr>
          <w:rFonts w:ascii="宋体" w:eastAsia="宋体" w:cs="Times New Roman" w:hint="eastAsia"/>
          <w:b/>
          <w:color w:val="auto"/>
          <w:kern w:val="0"/>
          <w:sz w:val="24"/>
          <w:szCs w:val="24"/>
          <w:lang w:val="en-US" w:eastAsia="zh-CN" w:bidi="ar-SA"/>
          <w:highlight w:val="auto"/>
        </w:rPr>
      </w:pPr>
      <w:r>
        <w:rPr>
          <w:rFonts w:ascii="宋体" w:eastAsia="宋体" w:cs="Times New Roman" w:hint="eastAsia"/>
          <w:b/>
          <w:color w:val="auto"/>
          <w:kern w:val="0"/>
          <w:sz w:val="24"/>
          <w:szCs w:val="24"/>
          <w:lang w:val="en-US" w:eastAsia="zh-CN" w:bidi="ar-SA"/>
          <w:highlight w:val="auto"/>
        </w:rPr>
        <w:t>6.</w:t>
      </w:r>
      <w:r>
        <w:rPr>
          <w:rFonts w:ascii="宋体" w:cs="Times New Roman" w:hint="eastAsia"/>
          <w:b/>
          <w:color w:val="auto"/>
          <w:kern w:val="0"/>
          <w:sz w:val="24"/>
          <w:szCs w:val="24"/>
          <w:lang w:val="en-US" w:eastAsia="zh-CN" w:bidi="ar-SA"/>
          <w:highlight w:val="auto"/>
        </w:rPr>
        <w:t>12</w:t>
      </w:r>
      <w:r>
        <w:rPr>
          <w:rFonts w:ascii="宋体" w:eastAsia="宋体" w:cs="Times New Roman" w:hint="eastAsia"/>
          <w:b/>
          <w:color w:val="auto"/>
          <w:kern w:val="0"/>
          <w:sz w:val="24"/>
          <w:szCs w:val="24"/>
          <w:lang w:val="en-US" w:eastAsia="zh-CN" w:bidi="ar-SA"/>
          <w:highlight w:val="auto"/>
        </w:rPr>
        <w:t>投标人曾承担过的类似项目业绩情况：</w:t>
      </w:r>
    </w:p>
    <w:p>
      <w:pPr>
        <w:pStyle w:val="38"/>
        <w:snapToGrid w:val="0"/>
        <w:spacing w:line="360" w:lineRule="auto"/>
        <w:ind w:left="0" w:firstLineChars="200" w:firstLine="420"/>
        <w:contextualSpacing/>
        <w:jc w:val="left"/>
        <w:rPr>
          <w:rFonts w:ascii="宋体"/>
          <w:color w:val="auto"/>
          <w:szCs w:val="21"/>
          <w:highlight w:val="auto"/>
        </w:rPr>
      </w:pPr>
      <w:r>
        <w:rPr>
          <w:rFonts w:ascii="宋体"/>
          <w:color w:val="auto"/>
          <w:szCs w:val="21"/>
          <w:highlight w:val="auto"/>
        </w:rPr>
        <w:t>投标人同类项目实施情况一览表格式：（投标人同类项目合同复印件）</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3"/>
        <w:gridCol w:w="1243"/>
        <w:gridCol w:w="1244"/>
        <w:gridCol w:w="1080"/>
        <w:gridCol w:w="765"/>
        <w:gridCol w:w="1215"/>
        <w:gridCol w:w="850"/>
        <w:gridCol w:w="1078"/>
      </w:tblGrid>
      <w:tr>
        <w:tc>
          <w:tcPr>
            <w:tcW w:w="1243"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采购单位名称</w:t>
            </w:r>
          </w:p>
        </w:tc>
        <w:tc>
          <w:tcPr>
            <w:tcW w:w="1243"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设备或项目名称</w:t>
            </w:r>
          </w:p>
        </w:tc>
        <w:tc>
          <w:tcPr>
            <w:tcW w:w="1244"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采购数量</w:t>
            </w:r>
          </w:p>
        </w:tc>
        <w:tc>
          <w:tcPr>
            <w:tcW w:w="1080" w:type="dxa"/>
            <w:vAlign w:val="center"/>
          </w:tcPr>
          <w:p>
            <w:pPr>
              <w:snapToGrid w:val="0"/>
              <w:spacing w:line="360" w:lineRule="auto"/>
              <w:jc w:val="left"/>
              <w:rPr>
                <w:rFonts w:ascii="宋体" w:eastAsia="宋体"/>
                <w:color w:val="auto"/>
                <w:szCs w:val="21"/>
                <w:lang w:val="en-US" w:eastAsia="zh-CN"/>
                <w:highlight w:val="auto"/>
              </w:rPr>
            </w:pPr>
            <w:r>
              <w:rPr>
                <w:rFonts w:ascii="宋体" w:hint="eastAsia"/>
                <w:color w:val="auto"/>
                <w:szCs w:val="21"/>
                <w:lang w:val="en-US" w:eastAsia="zh-CN"/>
                <w:highlight w:val="auto"/>
              </w:rPr>
              <w:t>规格型号</w:t>
            </w:r>
          </w:p>
        </w:tc>
        <w:tc>
          <w:tcPr>
            <w:tcW w:w="765" w:type="dxa"/>
            <w:vAlign w:val="center"/>
          </w:tcPr>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单价</w:t>
            </w:r>
          </w:p>
        </w:tc>
        <w:tc>
          <w:tcPr>
            <w:tcW w:w="1215"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合同金额</w:t>
            </w:r>
          </w:p>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（万元）</w:t>
            </w:r>
          </w:p>
        </w:tc>
        <w:tc>
          <w:tcPr>
            <w:tcW w:w="850"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附件页码</w:t>
            </w:r>
          </w:p>
          <w:p>
            <w:pPr>
              <w:snapToGrid w:val="0"/>
              <w:spacing w:line="360" w:lineRule="auto"/>
              <w:ind w:firstLineChars="200" w:firstLine="480"/>
              <w:jc w:val="left"/>
              <w:rPr>
                <w:rFonts w:ascii="宋体" w:eastAsia="宋体"/>
                <w:color w:val="auto"/>
                <w:sz w:val="24"/>
                <w:szCs w:val="24"/>
                <w:vertAlign w:val="baseline"/>
                <w:lang w:val="en-US" w:eastAsia="zh-CN"/>
                <w:highlight w:val="auto"/>
              </w:rPr>
            </w:pPr>
          </w:p>
        </w:tc>
        <w:tc>
          <w:tcPr>
            <w:tcW w:w="1078" w:type="dxa"/>
            <w:vAlign w:val="center"/>
          </w:tcPr>
          <w:p>
            <w:pPr>
              <w:snapToGrid w:val="0"/>
              <w:spacing w:line="360" w:lineRule="auto"/>
              <w:jc w:val="left"/>
              <w:rPr>
                <w:rFonts w:ascii="宋体"/>
                <w:color w:val="auto"/>
                <w:szCs w:val="21"/>
                <w:highlight w:val="auto"/>
              </w:rPr>
            </w:pPr>
            <w:r>
              <w:rPr>
                <w:rFonts w:ascii="宋体" w:hint="eastAsia"/>
                <w:color w:val="auto"/>
                <w:szCs w:val="21"/>
                <w:highlight w:val="auto"/>
              </w:rPr>
              <w:t>采购单位联系人及</w:t>
            </w:r>
          </w:p>
          <w:p>
            <w:pPr>
              <w:snapToGrid w:val="0"/>
              <w:spacing w:line="360" w:lineRule="auto"/>
              <w:jc w:val="left"/>
              <w:rPr>
                <w:rFonts w:ascii="宋体" w:eastAsia="宋体"/>
                <w:color w:val="auto"/>
                <w:sz w:val="24"/>
                <w:szCs w:val="24"/>
                <w:vertAlign w:val="baseline"/>
                <w:lang w:val="en-US" w:eastAsia="zh-CN"/>
                <w:highlight w:val="auto"/>
              </w:rPr>
            </w:pPr>
            <w:r>
              <w:rPr>
                <w:rFonts w:ascii="宋体" w:hint="eastAsia"/>
                <w:color w:val="auto"/>
                <w:szCs w:val="21"/>
                <w:highlight w:val="auto"/>
              </w:rPr>
              <w:t>联系电话</w:t>
            </w: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auto"/>
                <w:sz w:val="24"/>
                <w:szCs w:val="24"/>
                <w:vertAlign w:val="baseline"/>
                <w:lang w:val="en-US" w:eastAsia="zh-CN"/>
                <w:highlight w:val="auto"/>
              </w:rPr>
            </w:pPr>
          </w:p>
        </w:tc>
      </w:tr>
    </w:tbl>
    <w:p>
      <w:pPr>
        <w:pStyle w:val="2"/>
        <w:numPr>
          <w:ilvl w:val="0"/>
          <w:numId w:val="0"/>
        </w:numPr>
        <w:tabs>
          <w:tab w:val="clear" w:pos="425"/>
        </w:tabs>
        <w:adjustRightInd w:val="0"/>
        <w:snapToGrid w:val="0"/>
        <w:spacing w:beforeLines="50" w:before="120" w:after="0" w:line="360" w:lineRule="auto"/>
        <w:ind w:left="567"/>
        <w:rPr>
          <w:rFonts w:ascii="宋体" w:eastAsia="宋体" w:hint="eastAsia"/>
          <w:color w:val="auto"/>
          <w:sz w:val="24"/>
          <w:szCs w:val="24"/>
          <w:lang w:val="en-US" w:eastAsia="zh-CN"/>
          <w:highlight w:val="auto"/>
        </w:rPr>
      </w:pPr>
    </w:p>
    <w:p>
      <w:pPr>
        <w:spacing w:line="360" w:lineRule="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spacing w:line="360" w:lineRule="auto"/>
        <w:rPr>
          <w:rFonts w:ascii="宋体"/>
          <w:color w:val="auto"/>
          <w:szCs w:val="21"/>
          <w:highlight w:val="auto"/>
        </w:rPr>
      </w:pPr>
      <w:r>
        <w:rPr>
          <w:rFonts w:ascii="宋体" w:hint="eastAsia"/>
          <w:color w:val="auto"/>
          <w:szCs w:val="21"/>
          <w:highlight w:val="auto"/>
        </w:rPr>
        <w:t>法定代表人或其委托代理人：     （签字或盖章）</w:t>
      </w:r>
    </w:p>
    <w:p>
      <w:pPr>
        <w:spacing w:line="360" w:lineRule="auto"/>
        <w:rPr>
          <w:rFonts w:ascii="宋体" w:cs="宋体" w:hint="eastAsia"/>
          <w:color w:val="auto"/>
          <w:spacing w:val="-6"/>
          <w:szCs w:val="21"/>
          <w:highlight w:val="auto"/>
        </w:rPr>
        <w:sectPr>
          <w:footerReference w:type="default" r:id="rId16"/>
          <w:pgSz w:w="11911" w:h="16838"/>
          <w:pgMar w:top="1502" w:right="1378" w:bottom="1780" w:left="1582" w:header="0" w:footer="1378" w:gutter="0"/>
          <w:docGrid w:linePitch="312" w:charSpace="0"/>
        </w:sectPr>
      </w:pPr>
      <w:r>
        <w:rPr>
          <w:rFonts w:ascii="宋体" w:cs="宋体" w:hint="eastAsia"/>
          <w:color w:val="auto"/>
          <w:spacing w:val="-6"/>
          <w:szCs w:val="21"/>
          <w:highlight w:val="auto"/>
        </w:rPr>
        <w:t>日期：</w:t>
      </w:r>
      <w:r>
        <w:rPr>
          <w:rFonts w:ascii="宋体" w:cs="宋体"/>
          <w:color w:val="auto"/>
          <w:spacing w:val="-6"/>
          <w:szCs w:val="21"/>
          <w:highlight w:val="auto"/>
        </w:rPr>
        <w:t xml:space="preserve">    </w:t>
      </w:r>
      <w:r>
        <w:rPr>
          <w:rFonts w:ascii="宋体" w:cs="宋体" w:hint="eastAsia"/>
          <w:color w:val="auto"/>
          <w:spacing w:val="-6"/>
          <w:szCs w:val="21"/>
          <w:highlight w:val="auto"/>
        </w:rPr>
        <w:t>年</w:t>
      </w:r>
      <w:r>
        <w:rPr>
          <w:rFonts w:ascii="宋体" w:cs="宋体"/>
          <w:color w:val="auto"/>
          <w:spacing w:val="-6"/>
          <w:szCs w:val="21"/>
          <w:highlight w:val="auto"/>
        </w:rPr>
        <w:t xml:space="preserve">  </w:t>
      </w:r>
      <w:r>
        <w:rPr>
          <w:rFonts w:ascii="宋体" w:cs="宋体" w:hint="eastAsia"/>
          <w:color w:val="auto"/>
          <w:spacing w:val="-6"/>
          <w:szCs w:val="21"/>
          <w:highlight w:val="auto"/>
        </w:rPr>
        <w:t>月</w:t>
      </w:r>
      <w:r>
        <w:rPr>
          <w:rFonts w:ascii="宋体" w:cs="宋体"/>
          <w:color w:val="auto"/>
          <w:spacing w:val="-6"/>
          <w:szCs w:val="21"/>
          <w:highlight w:val="auto"/>
        </w:rPr>
        <w:t xml:space="preserve">  </w:t>
      </w:r>
      <w:r>
        <w:rPr>
          <w:rFonts w:ascii="宋体" w:cs="宋体" w:hint="eastAsia"/>
          <w:color w:val="auto"/>
          <w:spacing w:val="-6"/>
          <w:szCs w:val="21"/>
          <w:highlight w:val="auto"/>
        </w:rPr>
        <w:t>日</w:t>
      </w:r>
    </w:p>
    <w:p>
      <w:pPr>
        <w:rPr>
          <w:rFonts w:ascii="宋体" w:cs="宋体"/>
          <w:color w:val="auto"/>
          <w:spacing w:val="-6"/>
          <w:szCs w:val="21"/>
          <w:highlight w:val="auto"/>
        </w:rPr>
      </w:pPr>
    </w:p>
    <w:p>
      <w:pPr>
        <w:pStyle w:val="2"/>
        <w:numPr>
          <w:ilvl w:val="0"/>
          <w:numId w:val="0"/>
        </w:numPr>
        <w:tabs>
          <w:tab w:val="clear" w:pos="425"/>
        </w:tabs>
        <w:adjustRightInd w:val="0"/>
        <w:snapToGrid w:val="0"/>
        <w:spacing w:beforeLines="50" w:before="120" w:after="0" w:line="360" w:lineRule="auto"/>
        <w:ind w:left="567"/>
        <w:rPr>
          <w:rFonts w:ascii="宋体" w:eastAsia="宋体"/>
          <w:b w:val="0"/>
          <w:color w:val="auto"/>
          <w:sz w:val="24"/>
          <w:szCs w:val="24"/>
          <w:highlight w:val="auto"/>
        </w:rPr>
      </w:pPr>
      <w:r>
        <w:rPr>
          <w:rFonts w:ascii="宋体" w:eastAsia="宋体" w:cs="Times New Roman" w:hint="eastAsia"/>
          <w:b/>
          <w:color w:val="auto"/>
          <w:kern w:val="0"/>
          <w:sz w:val="24"/>
          <w:szCs w:val="24"/>
          <w:lang w:val="en-US" w:eastAsia="zh-CN" w:bidi="ar-SA"/>
          <w:highlight w:val="auto"/>
        </w:rPr>
        <w:t>6.13</w:t>
      </w:r>
      <w:r>
        <w:rPr>
          <w:rFonts w:ascii="宋体" w:eastAsia="宋体" w:hint="eastAsia"/>
          <w:color w:val="auto"/>
          <w:sz w:val="24"/>
          <w:szCs w:val="24"/>
          <w:highlight w:val="auto"/>
        </w:rPr>
        <w:t>采购需求偏离表</w:t>
      </w:r>
    </w:p>
    <w:p>
      <w:pPr>
        <w:spacing w:line="360" w:lineRule="auto"/>
        <w:jc w:val="center"/>
        <w:rPr>
          <w:rFonts w:ascii="宋体" w:cs="宋体"/>
          <w:b/>
          <w:bCs/>
          <w:iCs/>
          <w:color w:val="auto"/>
          <w:spacing w:val="-6"/>
          <w:szCs w:val="21"/>
          <w:highlight w:val="auto"/>
        </w:rPr>
      </w:pPr>
      <w:r>
        <w:rPr>
          <w:rFonts w:ascii="宋体" w:cs="宋体" w:hint="eastAsia"/>
          <w:b/>
          <w:bCs/>
          <w:iCs/>
          <w:color w:val="auto"/>
          <w:spacing w:val="-6"/>
          <w:szCs w:val="21"/>
          <w:highlight w:val="auto"/>
        </w:rPr>
        <w:t>采购需求偏离表</w:t>
      </w:r>
    </w:p>
    <w:p>
      <w:pPr>
        <w:spacing w:line="360" w:lineRule="auto"/>
        <w:rPr>
          <w:rFonts w:ascii="宋体" w:cs="宋体"/>
          <w:bCs/>
          <w:color w:val="auto"/>
          <w:spacing w:val="-6"/>
          <w:szCs w:val="21"/>
          <w:highlight w:val="auto"/>
        </w:rPr>
      </w:pPr>
      <w:r>
        <w:rPr>
          <w:rFonts w:ascii="宋体" w:cs="宋体" w:hint="eastAsia"/>
          <w:bCs/>
          <w:color w:val="auto"/>
          <w:spacing w:val="-6"/>
          <w:szCs w:val="21"/>
          <w:highlight w:val="auto"/>
        </w:rPr>
        <w:t>采</w:t>
      </w:r>
      <w:r>
        <w:rPr>
          <w:rFonts w:ascii="宋体" w:cs="宋体"/>
          <w:bCs/>
          <w:color w:val="auto"/>
          <w:spacing w:val="-6"/>
          <w:szCs w:val="21"/>
          <w:highlight w:val="auto"/>
        </w:rPr>
        <w:t xml:space="preserve"> </w:t>
      </w:r>
      <w:r>
        <w:rPr>
          <w:rFonts w:ascii="宋体" w:cs="宋体" w:hint="eastAsia"/>
          <w:bCs/>
          <w:color w:val="auto"/>
          <w:spacing w:val="-6"/>
          <w:szCs w:val="21"/>
          <w:highlight w:val="auto"/>
        </w:rPr>
        <w:t>购</w:t>
      </w:r>
      <w:r>
        <w:rPr>
          <w:rFonts w:ascii="宋体" w:cs="宋体"/>
          <w:bCs/>
          <w:color w:val="auto"/>
          <w:spacing w:val="-6"/>
          <w:szCs w:val="21"/>
          <w:highlight w:val="auto"/>
        </w:rPr>
        <w:t xml:space="preserve"> </w:t>
      </w:r>
      <w:r>
        <w:rPr>
          <w:rFonts w:ascii="宋体" w:cs="宋体" w:hint="eastAsia"/>
          <w:bCs/>
          <w:color w:val="auto"/>
          <w:spacing w:val="-6"/>
          <w:szCs w:val="21"/>
          <w:highlight w:val="auto"/>
        </w:rPr>
        <w:t>人：嘉兴海关综合技术服务中心</w:t>
      </w:r>
    </w:p>
    <w:p>
      <w:pPr>
        <w:spacing w:line="360" w:lineRule="auto"/>
        <w:rPr>
          <w:rFonts w:ascii="宋体" w:eastAsia="宋体" w:cs="宋体" w:hint="eastAsia"/>
          <w:color w:val="auto"/>
          <w:spacing w:val="-6"/>
          <w:szCs w:val="21"/>
          <w:lang w:eastAsia="zh-CN"/>
          <w:highlight w:val="auto"/>
        </w:rPr>
      </w:pPr>
      <w:r>
        <w:rPr>
          <w:rFonts w:ascii="宋体" w:cs="宋体" w:hint="eastAsia"/>
          <w:bCs/>
          <w:color w:val="auto"/>
          <w:spacing w:val="-6"/>
          <w:szCs w:val="21"/>
          <w:highlight w:val="auto"/>
        </w:rPr>
        <w:t>项目名称：</w:t>
      </w:r>
      <w:r>
        <w:rPr>
          <w:rFonts w:ascii="宋体" w:cs="宋体" w:hint="eastAsia"/>
          <w:color w:val="auto"/>
          <w:spacing w:val="-6"/>
          <w:szCs w:val="21"/>
          <w:lang w:eastAsia="zh-CN"/>
          <w:highlight w:val="auto"/>
        </w:rPr>
        <w:t>嘉兴海关综合技术服务中心2025年实验室仪器设备更新项目（二）</w:t>
      </w:r>
    </w:p>
    <w:p>
      <w:pPr>
        <w:spacing w:line="360" w:lineRule="auto"/>
        <w:rPr>
          <w:rFonts w:ascii="宋体" w:eastAsia="宋体" w:cs="宋体"/>
          <w:bCs/>
          <w:color w:val="auto"/>
          <w:spacing w:val="-6"/>
          <w:szCs w:val="21"/>
          <w:lang w:val="en-US" w:eastAsia="zh-CN"/>
          <w:highlight w:val="auto"/>
        </w:rPr>
      </w:pPr>
      <w:r>
        <w:rPr>
          <w:rFonts w:ascii="宋体" w:cs="宋体" w:hint="eastAsia"/>
          <w:bCs/>
          <w:color w:val="auto"/>
          <w:spacing w:val="-6"/>
          <w:szCs w:val="21"/>
          <w:highlight w:val="auto"/>
        </w:rPr>
        <w:t>项目编号：</w:t>
      </w:r>
      <w:r>
        <w:rPr>
          <w:rFonts w:ascii="宋体" w:cs="宋体" w:hint="eastAsia"/>
          <w:bCs/>
          <w:color w:val="auto"/>
          <w:spacing w:val="-6"/>
          <w:szCs w:val="21"/>
          <w:lang w:val="en-US" w:eastAsia="zh-CN"/>
          <w:highlight w:val="auto"/>
        </w:rPr>
        <w:t xml:space="preserve">                        </w:t>
      </w:r>
    </w:p>
    <w:tbl>
      <w:tblPr>
        <w:jc w:val="left"/>
        <w:tblInd w:w="-34" w:type="dxa"/>
        <w:tblW w:w="9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00"/>
        <w:gridCol w:w="3011"/>
        <w:gridCol w:w="2862"/>
        <w:gridCol w:w="2215"/>
      </w:tblGrid>
      <w:tr>
        <w:trPr>
          <w:trHeight w:val="567"/>
        </w:trPr>
        <w:tc>
          <w:tcPr>
            <w:tcW w:w="1100"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序号</w:t>
            </w:r>
          </w:p>
        </w:tc>
        <w:tc>
          <w:tcPr>
            <w:tcW w:w="3011"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采购文件要求</w:t>
            </w:r>
          </w:p>
        </w:tc>
        <w:tc>
          <w:tcPr>
            <w:tcW w:w="2862" w:type="dxa"/>
            <w:vAlign w:val="center"/>
          </w:tcPr>
          <w:p>
            <w:pPr>
              <w:snapToGrid w:val="0"/>
              <w:jc w:val="center"/>
              <w:rPr>
                <w:rFonts w:ascii="宋体" w:eastAsia="宋体" w:cs="宋体" w:hint="eastAsia"/>
                <w:b/>
                <w:color w:val="auto"/>
                <w:spacing w:val="-6"/>
                <w:szCs w:val="21"/>
                <w:lang w:val="en-US" w:eastAsia="zh-CN"/>
                <w:highlight w:val="auto"/>
              </w:rPr>
            </w:pPr>
            <w:r>
              <w:rPr>
                <w:rFonts w:ascii="宋体" w:cs="宋体" w:hint="eastAsia"/>
                <w:b/>
                <w:color w:val="auto"/>
                <w:spacing w:val="-6"/>
                <w:szCs w:val="21"/>
                <w:highlight w:val="auto"/>
              </w:rPr>
              <w:t>投标规格</w:t>
            </w:r>
            <w:r>
              <w:rPr>
                <w:rFonts w:ascii="宋体" w:cs="宋体" w:hint="eastAsia"/>
                <w:b/>
                <w:color w:val="auto"/>
                <w:spacing w:val="-6"/>
                <w:szCs w:val="21"/>
                <w:lang w:val="en-US" w:eastAsia="zh-CN"/>
                <w:highlight w:val="auto"/>
              </w:rPr>
              <w:t>参数</w:t>
            </w:r>
          </w:p>
        </w:tc>
        <w:tc>
          <w:tcPr>
            <w:tcW w:w="2215" w:type="dxa"/>
            <w:vAlign w:val="center"/>
          </w:tcPr>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是否偏离</w:t>
            </w:r>
          </w:p>
          <w:p>
            <w:pPr>
              <w:snapToGrid w:val="0"/>
              <w:jc w:val="center"/>
              <w:rPr>
                <w:rFonts w:ascii="宋体" w:cs="宋体"/>
                <w:b/>
                <w:color w:val="auto"/>
                <w:spacing w:val="-6"/>
                <w:szCs w:val="21"/>
                <w:highlight w:val="auto"/>
              </w:rPr>
            </w:pPr>
            <w:r>
              <w:rPr>
                <w:rFonts w:ascii="宋体" w:cs="宋体" w:hint="eastAsia"/>
                <w:b/>
                <w:color w:val="auto"/>
                <w:spacing w:val="-6"/>
                <w:szCs w:val="21"/>
                <w:highlight w:val="auto"/>
              </w:rPr>
              <w:t>（</w:t>
            </w:r>
            <w:r>
              <w:rPr>
                <w:rFonts w:ascii="宋体" w:cs="宋体" w:hint="eastAsia"/>
                <w:b/>
                <w:color w:val="auto"/>
                <w:spacing w:val="-6"/>
                <w:szCs w:val="21"/>
                <w:lang w:val="en-US" w:eastAsia="zh-CN"/>
                <w:highlight w:val="auto"/>
              </w:rPr>
              <w:t>请填写正偏离/负偏离/符合并</w:t>
            </w:r>
            <w:r>
              <w:rPr>
                <w:rFonts w:ascii="宋体" w:cs="宋体" w:hint="eastAsia"/>
                <w:b/>
                <w:color w:val="auto"/>
                <w:spacing w:val="-6"/>
                <w:szCs w:val="21"/>
                <w:highlight w:val="auto"/>
              </w:rPr>
              <w:t>提供说明）</w:t>
            </w:r>
          </w:p>
        </w:tc>
      </w:tr>
      <w:tr>
        <w:trPr>
          <w:trHeight w:val="567"/>
        </w:trPr>
        <w:tc>
          <w:tcPr>
            <w:tcW w:w="9188" w:type="dxa"/>
            <w:gridSpan w:val="4"/>
            <w:vAlign w:val="center"/>
          </w:tcPr>
          <w:p>
            <w:pPr>
              <w:snapToGrid w:val="0"/>
              <w:rPr>
                <w:rFonts w:ascii="宋体" w:cs="宋体"/>
                <w:color w:val="auto"/>
                <w:spacing w:val="-6"/>
                <w:szCs w:val="21"/>
                <w:highlight w:val="auto"/>
              </w:rPr>
            </w:pPr>
            <w:r>
              <w:rPr>
                <w:rFonts w:ascii="宋体" w:cs="宋体" w:hint="eastAsia"/>
                <w:color w:val="auto"/>
                <w:spacing w:val="-6"/>
                <w:szCs w:val="21"/>
                <w:highlight w:val="auto"/>
              </w:rPr>
              <w:t>技术要求</w:t>
            </w:r>
            <w:r>
              <w:rPr>
                <w:rFonts w:ascii="宋体" w:cs="宋体" w:hint="eastAsia"/>
                <w:b/>
                <w:bCs/>
                <w:color w:val="auto"/>
                <w:spacing w:val="-6"/>
                <w:szCs w:val="21"/>
                <w:highlight w:val="auto"/>
              </w:rPr>
              <w:t>（</w:t>
            </w:r>
            <w:r>
              <w:rPr>
                <w:rFonts w:ascii="宋体" w:cs="宋体" w:hint="eastAsia"/>
                <w:b/>
                <w:bCs/>
                <w:color w:val="auto"/>
                <w:szCs w:val="21"/>
                <w:highlight w:val="auto"/>
              </w:rPr>
              <w:t>指标参数中佐证材料需提供相应材料或承诺，详见指标参数中要求，未按要求提供相应材料或承诺的视为负偏离</w:t>
            </w:r>
            <w:r>
              <w:rPr>
                <w:rFonts w:ascii="宋体" w:cs="宋体" w:hint="eastAsia"/>
                <w:b/>
                <w:bCs/>
                <w:color w:val="auto"/>
                <w:spacing w:val="-6"/>
                <w:szCs w:val="21"/>
                <w:highlight w:val="auto"/>
              </w:rPr>
              <w:t>）</w:t>
            </w: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9188" w:type="dxa"/>
            <w:gridSpan w:val="4"/>
            <w:vAlign w:val="center"/>
          </w:tcPr>
          <w:p>
            <w:pPr>
              <w:snapToGrid w:val="0"/>
              <w:rPr>
                <w:rFonts w:ascii="宋体" w:cs="宋体"/>
                <w:color w:val="auto"/>
                <w:spacing w:val="-6"/>
                <w:szCs w:val="21"/>
                <w:highlight w:val="auto"/>
              </w:rPr>
            </w:pPr>
            <w:r>
              <w:rPr>
                <w:rFonts w:ascii="宋体" w:cs="宋体" w:hint="eastAsia"/>
                <w:color w:val="auto"/>
                <w:szCs w:val="21"/>
                <w:highlight w:val="auto"/>
              </w:rPr>
              <w:t>商务要求</w:t>
            </w:r>
          </w:p>
        </w:tc>
      </w:tr>
      <w:tr>
        <w:trPr>
          <w:trHeight w:val="534"/>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付款条件</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eastAsia="宋体" w:cs="宋体" w:hint="eastAsia"/>
                <w:color w:val="auto"/>
                <w:spacing w:val="-6"/>
                <w:szCs w:val="21"/>
                <w:lang w:eastAsia="zh-CN"/>
                <w:highlight w:val="auto"/>
              </w:rPr>
            </w:pPr>
            <w:r>
              <w:rPr>
                <w:rFonts w:ascii="宋体" w:cs="宋体" w:hint="eastAsia"/>
                <w:color w:val="auto"/>
                <w:spacing w:val="-6"/>
                <w:szCs w:val="21"/>
                <w:highlight w:val="auto"/>
              </w:rPr>
              <w:t>交货</w:t>
            </w:r>
            <w:r>
              <w:rPr>
                <w:rFonts w:ascii="宋体" w:cs="宋体" w:hint="eastAsia"/>
                <w:color w:val="auto"/>
                <w:spacing w:val="-6"/>
                <w:szCs w:val="21"/>
                <w:lang w:val="en-US" w:eastAsia="zh-CN"/>
                <w:highlight w:val="auto"/>
              </w:rPr>
              <w:t>期</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质保期</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r>
        <w:trPr>
          <w:trHeight w:val="567"/>
        </w:trPr>
        <w:tc>
          <w:tcPr>
            <w:tcW w:w="1100" w:type="dxa"/>
            <w:vAlign w:val="center"/>
          </w:tcPr>
          <w:p>
            <w:pPr>
              <w:snapToGrid w:val="0"/>
              <w:jc w:val="center"/>
              <w:rPr>
                <w:rFonts w:ascii="宋体" w:cs="宋体"/>
                <w:color w:val="auto"/>
                <w:spacing w:val="-6"/>
                <w:szCs w:val="21"/>
                <w:highlight w:val="auto"/>
              </w:rPr>
            </w:pPr>
            <w:r>
              <w:rPr>
                <w:rFonts w:ascii="宋体" w:cs="宋体" w:hint="eastAsia"/>
                <w:color w:val="auto"/>
                <w:spacing w:val="-6"/>
                <w:szCs w:val="21"/>
                <w:highlight w:val="auto"/>
              </w:rPr>
              <w:t>.....</w:t>
            </w:r>
          </w:p>
        </w:tc>
        <w:tc>
          <w:tcPr>
            <w:tcW w:w="3011" w:type="dxa"/>
            <w:vAlign w:val="center"/>
          </w:tcPr>
          <w:p>
            <w:pPr>
              <w:snapToGrid w:val="0"/>
              <w:jc w:val="center"/>
              <w:rPr>
                <w:rFonts w:ascii="宋体" w:cs="宋体"/>
                <w:color w:val="auto"/>
                <w:spacing w:val="-6"/>
                <w:szCs w:val="21"/>
                <w:highlight w:val="auto"/>
              </w:rPr>
            </w:pPr>
          </w:p>
        </w:tc>
        <w:tc>
          <w:tcPr>
            <w:tcW w:w="2862" w:type="dxa"/>
            <w:vAlign w:val="center"/>
          </w:tcPr>
          <w:p>
            <w:pPr>
              <w:snapToGrid w:val="0"/>
              <w:jc w:val="center"/>
              <w:rPr>
                <w:rFonts w:ascii="宋体" w:cs="宋体"/>
                <w:color w:val="auto"/>
                <w:spacing w:val="-6"/>
                <w:szCs w:val="21"/>
                <w:highlight w:val="auto"/>
              </w:rPr>
            </w:pPr>
          </w:p>
        </w:tc>
        <w:tc>
          <w:tcPr>
            <w:tcW w:w="2215" w:type="dxa"/>
            <w:vAlign w:val="center"/>
          </w:tcPr>
          <w:p>
            <w:pPr>
              <w:snapToGrid w:val="0"/>
              <w:jc w:val="center"/>
              <w:rPr>
                <w:rFonts w:ascii="宋体" w:cs="宋体"/>
                <w:color w:val="auto"/>
                <w:spacing w:val="-6"/>
                <w:szCs w:val="21"/>
                <w:highlight w:val="auto"/>
              </w:rPr>
            </w:pP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highlight w:val="auto"/>
        </w:rPr>
      </w:pPr>
      <w:r>
        <w:rPr>
          <w:rFonts w:ascii="宋体" w:cs="宋体" w:hint="eastAsia"/>
          <w:b/>
          <w:bCs/>
          <w:color w:val="auto"/>
          <w:spacing w:val="-6"/>
          <w:szCs w:val="21"/>
          <w:highlight w:val="auto"/>
        </w:rPr>
        <w:t>说明：1.逐项按照采购文件要求填写响应规格；</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highlight w:val="auto"/>
        </w:rPr>
      </w:pPr>
      <w:r>
        <w:rPr>
          <w:rFonts w:ascii="宋体" w:cs="宋体" w:hint="eastAsia"/>
          <w:b/>
          <w:bCs/>
          <w:color w:val="auto"/>
          <w:spacing w:val="-6"/>
          <w:szCs w:val="21"/>
          <w:highlight w:val="auto"/>
        </w:rPr>
        <w:t>2.偏离说明是指对投标文件要求存在不同之处的解释说明。偏离系指：正偏离（高于招标要求）、负偏离（低于招标要求）、无偏离（满足招标要求）；</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b/>
          <w:bCs/>
          <w:color w:val="auto"/>
          <w:spacing w:val="-6"/>
          <w:szCs w:val="21"/>
          <w:lang w:val="en-US" w:eastAsia="zh-CN"/>
          <w:highlight w:val="auto"/>
        </w:rPr>
      </w:pPr>
      <w:r>
        <w:rPr>
          <w:rFonts w:ascii="宋体" w:cs="宋体" w:hint="eastAsia"/>
          <w:b/>
          <w:bCs/>
          <w:color w:val="auto"/>
          <w:spacing w:val="-6"/>
          <w:szCs w:val="21"/>
          <w:lang w:val="en-US" w:eastAsia="zh-CN"/>
          <w:highlight w:val="auto"/>
        </w:rPr>
        <w:t>3.</w:t>
      </w:r>
      <w:r>
        <w:rPr>
          <w:rFonts w:ascii="宋体" w:cs="宋体" w:hint="eastAsia"/>
          <w:b/>
          <w:bCs/>
          <w:color w:val="auto"/>
          <w:spacing w:val="-6"/>
          <w:szCs w:val="21"/>
          <w:highlight w:val="auto"/>
        </w:rPr>
        <w:t>不提供本表</w:t>
      </w:r>
      <w:r>
        <w:rPr>
          <w:rFonts w:ascii="宋体" w:cs="宋体" w:hint="eastAsia"/>
          <w:b/>
          <w:bCs/>
          <w:color w:val="auto"/>
          <w:spacing w:val="-6"/>
          <w:szCs w:val="21"/>
          <w:lang w:val="en-US" w:eastAsia="zh-CN"/>
          <w:highlight w:val="auto"/>
        </w:rPr>
        <w:t>或</w:t>
      </w:r>
      <w:r>
        <w:rPr>
          <w:rFonts w:ascii="宋体" w:cs="宋体" w:hint="eastAsia"/>
          <w:b/>
          <w:color w:val="auto"/>
          <w:spacing w:val="-6"/>
          <w:szCs w:val="21"/>
          <w:highlight w:val="auto"/>
        </w:rPr>
        <w:t>投标规格</w:t>
      </w:r>
      <w:r>
        <w:rPr>
          <w:rFonts w:ascii="宋体" w:cs="宋体" w:hint="eastAsia"/>
          <w:b/>
          <w:color w:val="auto"/>
          <w:spacing w:val="-6"/>
          <w:szCs w:val="21"/>
          <w:lang w:val="en-US" w:eastAsia="zh-CN"/>
          <w:highlight w:val="auto"/>
        </w:rPr>
        <w:t>参数</w:t>
      </w:r>
      <w:r>
        <w:rPr>
          <w:rFonts w:ascii="宋体" w:cs="宋体" w:hint="eastAsia"/>
          <w:b/>
          <w:bCs/>
          <w:color w:val="auto"/>
          <w:spacing w:val="-6"/>
          <w:szCs w:val="21"/>
          <w:lang w:val="en-US" w:eastAsia="zh-CN"/>
          <w:highlight w:val="auto"/>
        </w:rPr>
        <w:t>填写不完整的</w:t>
      </w:r>
      <w:r>
        <w:rPr>
          <w:rFonts w:ascii="宋体" w:cs="宋体" w:hint="eastAsia"/>
          <w:b/>
          <w:bCs/>
          <w:color w:val="auto"/>
          <w:spacing w:val="-6"/>
          <w:szCs w:val="21"/>
          <w:highlight w:val="auto"/>
        </w:rPr>
        <w:t>视为完全响应招标文件要求</w:t>
      </w:r>
      <w:r>
        <w:rPr>
          <w:rFonts w:ascii="宋体" w:cs="宋体" w:hint="eastAsia"/>
          <w:b/>
          <w:bCs/>
          <w:color w:val="auto"/>
          <w:spacing w:val="-6"/>
          <w:szCs w:val="21"/>
          <w:lang w:eastAsia="zh-CN"/>
          <w:highlight w:val="auto"/>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auto"/>
          <w:spacing w:val="-6"/>
          <w:szCs w:val="21"/>
          <w:lang w:val="en-US" w:eastAsia="zh-CN"/>
          <w:highlight w:val="auto"/>
        </w:rPr>
      </w:pPr>
      <w:r>
        <w:rPr>
          <w:rFonts w:ascii="宋体" w:cs="宋体" w:hint="eastAsia"/>
          <w:b/>
          <w:bCs/>
          <w:color w:val="auto"/>
          <w:spacing w:val="-6"/>
          <w:szCs w:val="21"/>
          <w:lang w:val="en-US" w:eastAsia="zh-CN"/>
          <w:highlight w:val="auto"/>
        </w:rPr>
        <w:t>4</w:t>
      </w:r>
      <w:r>
        <w:rPr>
          <w:rFonts w:ascii="宋体" w:cs="宋体" w:hint="eastAsia"/>
          <w:b/>
          <w:bCs/>
          <w:color w:val="auto"/>
          <w:spacing w:val="-6"/>
          <w:szCs w:val="21"/>
          <w:highlight w:val="auto"/>
        </w:rPr>
        <w:t>.未如实填写</w:t>
      </w:r>
      <w:r>
        <w:rPr>
          <w:rFonts w:ascii="宋体" w:cs="宋体" w:hint="eastAsia"/>
          <w:b/>
          <w:bCs/>
          <w:color w:val="auto"/>
          <w:spacing w:val="-6"/>
          <w:szCs w:val="21"/>
          <w:lang w:val="en-US" w:eastAsia="zh-CN"/>
          <w:highlight w:val="auto"/>
        </w:rPr>
        <w:t>或提供虚假材料的视为负偏离，自行承担风险，投标人需对上述偏离真实情况负责，不得虚假应标，验收时无法体现响应情况的视为虚假应标，采购人有权上报上级主管部门，</w:t>
      </w:r>
      <w:r>
        <w:rPr>
          <w:rFonts w:ascii="宋体" w:eastAsia="宋体" w:cs="宋体" w:hint="eastAsia"/>
          <w:b/>
          <w:bCs/>
          <w:color w:val="auto"/>
          <w:sz w:val="21"/>
          <w:szCs w:val="21"/>
          <w:lang w:val="en-US" w:eastAsia="zh-CN"/>
          <w:highlight w:val="auto"/>
        </w:rPr>
        <w:t>有权</w:t>
      </w:r>
      <w:r>
        <w:rPr>
          <w:rFonts w:ascii="宋体" w:eastAsia="宋体" w:cs="宋体" w:hint="eastAsia"/>
          <w:b/>
          <w:bCs/>
          <w:color w:val="auto"/>
          <w:sz w:val="21"/>
          <w:szCs w:val="21"/>
          <w:highlight w:val="auto"/>
        </w:rPr>
        <w:t>拒收</w:t>
      </w:r>
      <w:r>
        <w:rPr>
          <w:rFonts w:ascii="宋体" w:cs="宋体" w:hint="eastAsia"/>
          <w:b/>
          <w:bCs/>
          <w:color w:val="auto"/>
          <w:spacing w:val="-6"/>
          <w:szCs w:val="21"/>
          <w:lang w:val="en-US" w:eastAsia="zh-CN"/>
          <w:highlight w:val="auto"/>
        </w:rPr>
        <w:t>，不予付款。</w:t>
      </w:r>
    </w:p>
    <w:p>
      <w:pPr>
        <w:pStyle w:val="21"/>
        <w:rPr>
          <w:rFonts w:ascii="宋体" w:eastAsia="宋体" w:cs="宋体"/>
          <w:b/>
          <w:bCs/>
          <w:color w:val="auto"/>
          <w:spacing w:val="-6"/>
          <w:kern w:val="2"/>
          <w:sz w:val="21"/>
          <w:szCs w:val="21"/>
          <w:lang w:val="en-US" w:eastAsia="zh-CN" w:bidi="ar-SA"/>
          <w:highlight w:val="auto"/>
        </w:rPr>
      </w:pPr>
      <w:r>
        <w:rPr>
          <w:rFonts w:ascii="宋体" w:eastAsia="宋体" w:cs="宋体" w:hint="eastAsia"/>
          <w:b/>
          <w:bCs/>
          <w:color w:val="auto"/>
          <w:spacing w:val="-6"/>
          <w:kern w:val="2"/>
          <w:sz w:val="21"/>
          <w:szCs w:val="21"/>
          <w:lang w:val="en-US" w:eastAsia="zh-CN" w:bidi="ar-SA"/>
          <w:highlight w:val="auto"/>
        </w:rPr>
        <w:t>5.多台设备的交货期、质保期不同的需注明每台设备的交货期、质保期。</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olor w:val="auto"/>
          <w:szCs w:val="21"/>
          <w:highlight w:val="auto"/>
        </w:rPr>
      </w:pPr>
      <w:r>
        <w:rPr>
          <w:rFonts w:ascii="宋体" w:hint="eastAsia"/>
          <w:color w:val="auto"/>
          <w:szCs w:val="21"/>
          <w:highlight w:val="auto"/>
        </w:rPr>
        <w:t>法定代表人或其委托代理人：     （签字或盖章）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color w:val="auto"/>
          <w:spacing w:val="-6"/>
          <w:szCs w:val="21"/>
          <w:highlight w:val="auto"/>
        </w:rPr>
      </w:pPr>
      <w:r>
        <w:rPr>
          <w:rFonts w:ascii="宋体" w:cs="宋体" w:hint="eastAsia"/>
          <w:color w:val="auto"/>
          <w:spacing w:val="-6"/>
          <w:szCs w:val="21"/>
          <w:highlight w:val="auto"/>
        </w:rPr>
        <w:t>日期：</w:t>
      </w:r>
      <w:r>
        <w:rPr>
          <w:rFonts w:ascii="宋体" w:cs="宋体"/>
          <w:color w:val="auto"/>
          <w:spacing w:val="-6"/>
          <w:szCs w:val="21"/>
          <w:highlight w:val="auto"/>
        </w:rPr>
        <w:t xml:space="preserve">    </w:t>
      </w:r>
      <w:r>
        <w:rPr>
          <w:rFonts w:ascii="宋体" w:cs="宋体" w:hint="eastAsia"/>
          <w:color w:val="auto"/>
          <w:spacing w:val="-6"/>
          <w:szCs w:val="21"/>
          <w:highlight w:val="auto"/>
        </w:rPr>
        <w:t>年</w:t>
      </w:r>
      <w:r>
        <w:rPr>
          <w:rFonts w:ascii="宋体" w:cs="宋体"/>
          <w:color w:val="auto"/>
          <w:spacing w:val="-6"/>
          <w:szCs w:val="21"/>
          <w:highlight w:val="auto"/>
        </w:rPr>
        <w:t xml:space="preserve">  </w:t>
      </w:r>
      <w:r>
        <w:rPr>
          <w:rFonts w:ascii="宋体" w:cs="宋体" w:hint="eastAsia"/>
          <w:color w:val="auto"/>
          <w:spacing w:val="-6"/>
          <w:szCs w:val="21"/>
          <w:highlight w:val="auto"/>
        </w:rPr>
        <w:t>月</w:t>
      </w:r>
      <w:r>
        <w:rPr>
          <w:rFonts w:ascii="宋体" w:cs="宋体"/>
          <w:color w:val="auto"/>
          <w:spacing w:val="-6"/>
          <w:szCs w:val="21"/>
          <w:highlight w:val="auto"/>
        </w:rPr>
        <w:t xml:space="preserve">  </w:t>
      </w:r>
      <w:r>
        <w:rPr>
          <w:rFonts w:ascii="宋体" w:cs="宋体" w:hint="eastAsia"/>
          <w:color w:val="auto"/>
          <w:spacing w:val="-6"/>
          <w:szCs w:val="21"/>
          <w:highlight w:val="auto"/>
        </w:rPr>
        <w:t>日</w:t>
      </w:r>
    </w:p>
    <w:p>
      <w:pPr>
        <w:pStyle w:val="2"/>
        <w:numPr>
          <w:ilvl w:val="0"/>
          <w:numId w:val="0"/>
        </w:numPr>
        <w:tabs>
          <w:tab w:val="clear" w:pos="425"/>
        </w:tabs>
        <w:adjustRightInd w:val="0"/>
        <w:snapToGrid w:val="0"/>
        <w:spacing w:beforeLines="50" w:before="120" w:after="0" w:line="360" w:lineRule="auto"/>
        <w:ind w:left="567"/>
        <w:rPr>
          <w:rFonts w:ascii="宋体" w:eastAsia="宋体"/>
          <w:color w:val="auto"/>
          <w:sz w:val="24"/>
          <w:szCs w:val="24"/>
          <w:lang w:val="en-US" w:eastAsia="zh-CN"/>
          <w:highlight w:val="auto"/>
        </w:rPr>
      </w:pPr>
      <w:r>
        <w:rPr>
          <w:rFonts w:ascii="宋体" w:eastAsia="宋体" w:hint="eastAsia"/>
          <w:color w:val="auto"/>
          <w:sz w:val="24"/>
          <w:szCs w:val="24"/>
          <w:lang w:val="en-US" w:eastAsia="zh-CN"/>
          <w:highlight w:val="auto"/>
        </w:rPr>
        <w:t>6.14与商务资信标评分有关的其他材料</w:t>
      </w:r>
    </w:p>
    <w:p>
      <w:pPr>
        <w:pStyle w:val="2"/>
        <w:numPr>
          <w:ilvl w:val="0"/>
          <w:numId w:val="0"/>
        </w:numPr>
        <w:tabs>
          <w:tab w:val="clear" w:pos="425"/>
        </w:tabs>
        <w:adjustRightInd w:val="0"/>
        <w:snapToGrid w:val="0"/>
        <w:spacing w:beforeLines="50" w:before="120" w:after="0" w:line="360" w:lineRule="auto"/>
        <w:ind w:left="567"/>
        <w:jc w:val="center"/>
        <w:rPr>
          <w:rFonts w:ascii="宋体" w:eastAsia="宋体"/>
          <w:color w:val="auto"/>
          <w:sz w:val="24"/>
          <w:szCs w:val="24"/>
          <w:highlight w:val="auto"/>
        </w:rPr>
      </w:pPr>
      <w:bookmarkStart w:id="129" w:name="_Toc368993665"/>
      <w:bookmarkStart w:id="130" w:name="_Toc371582604"/>
      <w:bookmarkStart w:id="131" w:name="_Toc371605525"/>
      <w:bookmarkStart w:id="132" w:name="_Toc80791181"/>
      <w:bookmarkStart w:id="133" w:name="_Toc371661598"/>
      <w:bookmarkStart w:id="134" w:name="_Toc371002597"/>
      <w:bookmarkStart w:id="135" w:name="_Toc468296152"/>
      <w:bookmarkStart w:id="136" w:name="_Toc25937"/>
      <w:bookmarkStart w:id="137" w:name="_Toc60757547"/>
      <w:bookmarkStart w:id="138" w:name="_Toc488655915"/>
      <w:bookmarkEnd w:id="124"/>
      <w:bookmarkEnd w:id="125"/>
      <w:bookmarkEnd w:id="126"/>
      <w:bookmarkEnd w:id="127"/>
      <w:bookmarkEnd w:id="128"/>
      <w:r>
        <w:rPr>
          <w:rFonts w:ascii="宋体" w:eastAsia="宋体"/>
          <w:color w:val="auto"/>
          <w:sz w:val="24"/>
          <w:szCs w:val="24"/>
          <w:highlight w:val="auto"/>
        </w:rPr>
        <w:t>(1)</w:t>
      </w:r>
      <w:r>
        <w:rPr>
          <w:rFonts w:ascii="宋体" w:eastAsia="宋体" w:hint="eastAsia"/>
          <w:color w:val="auto"/>
          <w:sz w:val="24"/>
          <w:szCs w:val="24"/>
          <w:highlight w:val="auto"/>
        </w:rPr>
        <w:t>供应商基本情况表</w:t>
      </w:r>
      <w:bookmarkEnd w:id="129"/>
      <w:bookmarkEnd w:id="130"/>
      <w:bookmarkEnd w:id="131"/>
      <w:bookmarkEnd w:id="132"/>
      <w:bookmarkEnd w:id="133"/>
      <w:bookmarkEnd w:id="134"/>
      <w:bookmarkEnd w:id="135"/>
      <w:bookmarkEnd w:id="136"/>
      <w:bookmarkEnd w:id="137"/>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85"/>
        <w:gridCol w:w="1351"/>
        <w:gridCol w:w="993"/>
        <w:gridCol w:w="567"/>
        <w:gridCol w:w="478"/>
        <w:gridCol w:w="514"/>
        <w:gridCol w:w="732"/>
        <w:gridCol w:w="260"/>
        <w:gridCol w:w="709"/>
        <w:gridCol w:w="1416"/>
      </w:tblGrid>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供应商名称</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注册地址</w:t>
            </w:r>
          </w:p>
        </w:tc>
        <w:tc>
          <w:tcPr>
            <w:tcW w:w="3389" w:type="dxa"/>
            <w:gridSpan w:val="4"/>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邮政编码</w:t>
            </w:r>
          </w:p>
        </w:tc>
        <w:tc>
          <w:tcPr>
            <w:tcW w:w="2385" w:type="dxa"/>
            <w:gridSpan w:val="3"/>
            <w:vAlign w:val="center"/>
          </w:tcPr>
          <w:p>
            <w:pPr>
              <w:jc w:val="center"/>
              <w:rPr>
                <w:rFonts w:ascii="宋体"/>
                <w:color w:val="auto"/>
                <w:szCs w:val="21"/>
                <w:highlight w:val="auto"/>
              </w:rPr>
            </w:pPr>
          </w:p>
        </w:tc>
      </w:tr>
      <w:tr>
        <w:trPr>
          <w:trHeight w:val="567"/>
        </w:trPr>
        <w:tc>
          <w:tcPr>
            <w:tcW w:w="1485" w:type="dxa"/>
            <w:vMerge w:val="restart"/>
            <w:vAlign w:val="center"/>
          </w:tcPr>
          <w:p>
            <w:pPr>
              <w:jc w:val="center"/>
              <w:rPr>
                <w:rFonts w:ascii="宋体"/>
                <w:color w:val="auto"/>
                <w:szCs w:val="21"/>
                <w:highlight w:val="auto"/>
              </w:rPr>
            </w:pPr>
            <w:r>
              <w:rPr>
                <w:rFonts w:ascii="宋体" w:hint="eastAsia"/>
                <w:color w:val="auto"/>
                <w:szCs w:val="21"/>
                <w:highlight w:val="auto"/>
              </w:rPr>
              <w:t>联系方式</w:t>
            </w:r>
          </w:p>
        </w:tc>
        <w:tc>
          <w:tcPr>
            <w:tcW w:w="1351" w:type="dxa"/>
            <w:vAlign w:val="center"/>
          </w:tcPr>
          <w:p>
            <w:pPr>
              <w:jc w:val="center"/>
              <w:rPr>
                <w:rFonts w:ascii="宋体"/>
                <w:color w:val="auto"/>
                <w:szCs w:val="21"/>
                <w:highlight w:val="auto"/>
              </w:rPr>
            </w:pPr>
            <w:r>
              <w:rPr>
                <w:rFonts w:ascii="宋体" w:hint="eastAsia"/>
                <w:color w:val="auto"/>
                <w:szCs w:val="21"/>
                <w:highlight w:val="auto"/>
              </w:rPr>
              <w:t>联系人</w:t>
            </w:r>
          </w:p>
        </w:tc>
        <w:tc>
          <w:tcPr>
            <w:tcW w:w="2038" w:type="dxa"/>
            <w:gridSpan w:val="3"/>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电</w:t>
            </w:r>
            <w:r>
              <w:rPr>
                <w:rFonts w:ascii="宋体"/>
                <w:color w:val="auto"/>
                <w:szCs w:val="21"/>
                <w:highlight w:val="auto"/>
              </w:rPr>
              <w:t xml:space="preserve">  </w:t>
            </w:r>
            <w:r>
              <w:rPr>
                <w:rFonts w:ascii="宋体" w:hint="eastAsia"/>
                <w:color w:val="auto"/>
                <w:szCs w:val="21"/>
                <w:highlight w:val="auto"/>
              </w:rPr>
              <w:t>话</w:t>
            </w:r>
          </w:p>
        </w:tc>
        <w:tc>
          <w:tcPr>
            <w:tcW w:w="2385" w:type="dxa"/>
            <w:gridSpan w:val="3"/>
            <w:vAlign w:val="center"/>
          </w:tcPr>
          <w:p>
            <w:pPr>
              <w:jc w:val="center"/>
              <w:rPr>
                <w:rFonts w:ascii="宋体"/>
                <w:color w:val="auto"/>
                <w:szCs w:val="21"/>
                <w:highlight w:val="auto"/>
              </w:rPr>
            </w:pPr>
          </w:p>
        </w:tc>
      </w:tr>
      <w:tr>
        <w:trPr>
          <w:trHeight w:val="567"/>
        </w:trPr>
        <w:tc>
          <w:tcPr>
            <w:tcW w:w="1485" w:type="dxa"/>
            <w:vMerge/>
            <w:vAlign w:val="center"/>
          </w:tcPr>
          <w:p/>
        </w:tc>
        <w:tc>
          <w:tcPr>
            <w:tcW w:w="1351" w:type="dxa"/>
            <w:vAlign w:val="center"/>
          </w:tcPr>
          <w:p>
            <w:pPr>
              <w:jc w:val="center"/>
              <w:rPr>
                <w:rFonts w:ascii="宋体"/>
                <w:color w:val="auto"/>
                <w:szCs w:val="21"/>
                <w:highlight w:val="auto"/>
              </w:rPr>
            </w:pPr>
            <w:r>
              <w:rPr>
                <w:rFonts w:ascii="宋体" w:hint="eastAsia"/>
                <w:color w:val="auto"/>
                <w:szCs w:val="21"/>
                <w:highlight w:val="auto"/>
              </w:rPr>
              <w:t>传</w:t>
            </w:r>
            <w:r>
              <w:rPr>
                <w:rFonts w:ascii="宋体"/>
                <w:color w:val="auto"/>
                <w:szCs w:val="21"/>
                <w:highlight w:val="auto"/>
              </w:rPr>
              <w:t xml:space="preserve">  </w:t>
            </w:r>
            <w:r>
              <w:rPr>
                <w:rFonts w:ascii="宋体" w:hint="eastAsia"/>
                <w:color w:val="auto"/>
                <w:szCs w:val="21"/>
                <w:highlight w:val="auto"/>
              </w:rPr>
              <w:t>真</w:t>
            </w:r>
          </w:p>
        </w:tc>
        <w:tc>
          <w:tcPr>
            <w:tcW w:w="2038" w:type="dxa"/>
            <w:gridSpan w:val="3"/>
            <w:vAlign w:val="center"/>
          </w:tcPr>
          <w:p>
            <w:pPr>
              <w:jc w:val="center"/>
              <w:rPr>
                <w:rFonts w:ascii="宋体"/>
                <w:color w:val="auto"/>
                <w:szCs w:val="21"/>
                <w:highlight w:val="auto"/>
              </w:rPr>
            </w:pPr>
          </w:p>
        </w:tc>
        <w:tc>
          <w:tcPr>
            <w:tcW w:w="1246" w:type="dxa"/>
            <w:gridSpan w:val="2"/>
            <w:vAlign w:val="center"/>
          </w:tcPr>
          <w:p>
            <w:pPr>
              <w:jc w:val="center"/>
              <w:rPr>
                <w:rFonts w:ascii="宋体"/>
                <w:color w:val="auto"/>
                <w:szCs w:val="21"/>
                <w:highlight w:val="auto"/>
              </w:rPr>
            </w:pPr>
            <w:r>
              <w:rPr>
                <w:rFonts w:ascii="宋体" w:hint="eastAsia"/>
                <w:color w:val="auto"/>
                <w:szCs w:val="21"/>
                <w:highlight w:val="auto"/>
              </w:rPr>
              <w:t>网</w:t>
            </w:r>
            <w:r>
              <w:rPr>
                <w:rFonts w:ascii="宋体"/>
                <w:color w:val="auto"/>
                <w:szCs w:val="21"/>
                <w:highlight w:val="auto"/>
              </w:rPr>
              <w:t xml:space="preserve">  </w:t>
            </w:r>
            <w:r>
              <w:rPr>
                <w:rFonts w:ascii="宋体" w:hint="eastAsia"/>
                <w:color w:val="auto"/>
                <w:szCs w:val="21"/>
                <w:highlight w:val="auto"/>
              </w:rPr>
              <w:t>址</w:t>
            </w:r>
          </w:p>
        </w:tc>
        <w:tc>
          <w:tcPr>
            <w:tcW w:w="2385" w:type="dxa"/>
            <w:gridSpan w:val="3"/>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组织结构</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法定代表人</w:t>
            </w:r>
          </w:p>
        </w:tc>
        <w:tc>
          <w:tcPr>
            <w:tcW w:w="1351" w:type="dxa"/>
            <w:vAlign w:val="center"/>
          </w:tcPr>
          <w:p>
            <w:pPr>
              <w:jc w:val="center"/>
              <w:rPr>
                <w:rFonts w:ascii="宋体"/>
                <w:color w:val="auto"/>
                <w:szCs w:val="21"/>
                <w:highlight w:val="auto"/>
              </w:rPr>
            </w:pPr>
            <w:r>
              <w:rPr>
                <w:rFonts w:ascii="宋体" w:hint="eastAsia"/>
                <w:color w:val="auto"/>
                <w:szCs w:val="21"/>
                <w:highlight w:val="auto"/>
              </w:rPr>
              <w:t>姓名</w:t>
            </w:r>
          </w:p>
        </w:tc>
        <w:tc>
          <w:tcPr>
            <w:tcW w:w="993" w:type="dxa"/>
            <w:vAlign w:val="center"/>
          </w:tcPr>
          <w:p>
            <w:pPr>
              <w:jc w:val="center"/>
              <w:rPr>
                <w:rFonts w:ascii="宋体"/>
                <w:color w:val="auto"/>
                <w:szCs w:val="21"/>
                <w:highlight w:val="auto"/>
              </w:rPr>
            </w:pPr>
          </w:p>
        </w:tc>
        <w:tc>
          <w:tcPr>
            <w:tcW w:w="1559" w:type="dxa"/>
            <w:gridSpan w:val="3"/>
            <w:vAlign w:val="center"/>
          </w:tcPr>
          <w:p>
            <w:pPr>
              <w:jc w:val="center"/>
              <w:rPr>
                <w:rFonts w:ascii="宋体"/>
                <w:color w:val="auto"/>
                <w:szCs w:val="21"/>
                <w:highlight w:val="auto"/>
              </w:rPr>
            </w:pPr>
            <w:r>
              <w:rPr>
                <w:rFonts w:ascii="宋体" w:hint="eastAsia"/>
                <w:color w:val="auto"/>
                <w:szCs w:val="21"/>
                <w:highlight w:val="auto"/>
              </w:rPr>
              <w:t>职务</w:t>
            </w:r>
            <w:r>
              <w:rPr>
                <w:rFonts w:ascii="宋体"/>
                <w:color w:val="auto"/>
                <w:szCs w:val="21"/>
                <w:highlight w:val="auto"/>
              </w:rPr>
              <w:t>/</w:t>
            </w:r>
            <w:r>
              <w:rPr>
                <w:rFonts w:ascii="宋体" w:hint="eastAsia"/>
                <w:color w:val="auto"/>
                <w:szCs w:val="21"/>
                <w:highlight w:val="auto"/>
              </w:rPr>
              <w:t>职称</w:t>
            </w:r>
          </w:p>
        </w:tc>
        <w:tc>
          <w:tcPr>
            <w:tcW w:w="992" w:type="dxa"/>
            <w:gridSpan w:val="2"/>
            <w:vAlign w:val="center"/>
          </w:tcPr>
          <w:p>
            <w:pPr>
              <w:jc w:val="center"/>
              <w:rPr>
                <w:rFonts w:ascii="宋体"/>
                <w:color w:val="auto"/>
                <w:szCs w:val="21"/>
                <w:highlight w:val="auto"/>
              </w:rPr>
            </w:pPr>
          </w:p>
        </w:tc>
        <w:tc>
          <w:tcPr>
            <w:tcW w:w="709" w:type="dxa"/>
            <w:vAlign w:val="center"/>
          </w:tcPr>
          <w:p>
            <w:pPr>
              <w:jc w:val="center"/>
              <w:rPr>
                <w:rFonts w:ascii="宋体"/>
                <w:color w:val="auto"/>
                <w:szCs w:val="21"/>
                <w:highlight w:val="auto"/>
              </w:rPr>
            </w:pPr>
            <w:r>
              <w:rPr>
                <w:rFonts w:ascii="宋体" w:hint="eastAsia"/>
                <w:color w:val="auto"/>
                <w:szCs w:val="21"/>
                <w:highlight w:val="auto"/>
              </w:rPr>
              <w:t>电话</w:t>
            </w:r>
          </w:p>
        </w:tc>
        <w:tc>
          <w:tcPr>
            <w:tcW w:w="1416" w:type="dxa"/>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技术负责人</w:t>
            </w:r>
          </w:p>
        </w:tc>
        <w:tc>
          <w:tcPr>
            <w:tcW w:w="1351" w:type="dxa"/>
            <w:vAlign w:val="center"/>
          </w:tcPr>
          <w:p>
            <w:pPr>
              <w:jc w:val="center"/>
              <w:rPr>
                <w:rFonts w:ascii="宋体"/>
                <w:color w:val="auto"/>
                <w:szCs w:val="21"/>
                <w:highlight w:val="auto"/>
              </w:rPr>
            </w:pPr>
            <w:r>
              <w:rPr>
                <w:rFonts w:ascii="宋体" w:hint="eastAsia"/>
                <w:color w:val="auto"/>
                <w:szCs w:val="21"/>
                <w:highlight w:val="auto"/>
              </w:rPr>
              <w:t>姓名</w:t>
            </w:r>
          </w:p>
        </w:tc>
        <w:tc>
          <w:tcPr>
            <w:tcW w:w="993" w:type="dxa"/>
            <w:vAlign w:val="center"/>
          </w:tcPr>
          <w:p>
            <w:pPr>
              <w:jc w:val="center"/>
              <w:rPr>
                <w:rFonts w:ascii="宋体"/>
                <w:color w:val="auto"/>
                <w:szCs w:val="21"/>
                <w:highlight w:val="auto"/>
              </w:rPr>
            </w:pPr>
          </w:p>
        </w:tc>
        <w:tc>
          <w:tcPr>
            <w:tcW w:w="1559" w:type="dxa"/>
            <w:gridSpan w:val="3"/>
            <w:vAlign w:val="center"/>
          </w:tcPr>
          <w:p>
            <w:pPr>
              <w:jc w:val="center"/>
              <w:rPr>
                <w:rFonts w:ascii="宋体"/>
                <w:color w:val="auto"/>
                <w:szCs w:val="21"/>
                <w:highlight w:val="auto"/>
              </w:rPr>
            </w:pPr>
            <w:r>
              <w:rPr>
                <w:rFonts w:ascii="宋体" w:hint="eastAsia"/>
                <w:color w:val="auto"/>
                <w:szCs w:val="21"/>
                <w:highlight w:val="auto"/>
              </w:rPr>
              <w:t>职务</w:t>
            </w:r>
            <w:r>
              <w:rPr>
                <w:rFonts w:ascii="宋体"/>
                <w:color w:val="auto"/>
                <w:szCs w:val="21"/>
                <w:highlight w:val="auto"/>
              </w:rPr>
              <w:t>/</w:t>
            </w:r>
            <w:r>
              <w:rPr>
                <w:rFonts w:ascii="宋体" w:hint="eastAsia"/>
                <w:color w:val="auto"/>
                <w:szCs w:val="21"/>
                <w:highlight w:val="auto"/>
              </w:rPr>
              <w:t>职称</w:t>
            </w:r>
          </w:p>
        </w:tc>
        <w:tc>
          <w:tcPr>
            <w:tcW w:w="992" w:type="dxa"/>
            <w:gridSpan w:val="2"/>
            <w:vAlign w:val="center"/>
          </w:tcPr>
          <w:p>
            <w:pPr>
              <w:jc w:val="center"/>
              <w:rPr>
                <w:rFonts w:ascii="宋体"/>
                <w:color w:val="auto"/>
                <w:szCs w:val="21"/>
                <w:highlight w:val="auto"/>
              </w:rPr>
            </w:pPr>
          </w:p>
        </w:tc>
        <w:tc>
          <w:tcPr>
            <w:tcW w:w="709" w:type="dxa"/>
            <w:vAlign w:val="center"/>
          </w:tcPr>
          <w:p>
            <w:pPr>
              <w:jc w:val="center"/>
              <w:rPr>
                <w:rFonts w:ascii="宋体"/>
                <w:color w:val="auto"/>
                <w:szCs w:val="21"/>
                <w:highlight w:val="auto"/>
              </w:rPr>
            </w:pPr>
            <w:r>
              <w:rPr>
                <w:rFonts w:ascii="宋体" w:hint="eastAsia"/>
                <w:color w:val="auto"/>
                <w:szCs w:val="21"/>
                <w:highlight w:val="auto"/>
              </w:rPr>
              <w:t>电话</w:t>
            </w:r>
          </w:p>
        </w:tc>
        <w:tc>
          <w:tcPr>
            <w:tcW w:w="1416" w:type="dxa"/>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成立时间</w:t>
            </w:r>
          </w:p>
        </w:tc>
        <w:tc>
          <w:tcPr>
            <w:tcW w:w="2344" w:type="dxa"/>
            <w:gridSpan w:val="2"/>
            <w:vAlign w:val="center"/>
          </w:tcPr>
          <w:p>
            <w:pPr>
              <w:jc w:val="center"/>
              <w:rPr>
                <w:rFonts w:ascii="宋体"/>
                <w:color w:val="auto"/>
                <w:szCs w:val="21"/>
                <w:highlight w:val="auto"/>
              </w:rPr>
            </w:pPr>
          </w:p>
        </w:tc>
        <w:tc>
          <w:tcPr>
            <w:tcW w:w="4676" w:type="dxa"/>
            <w:gridSpan w:val="7"/>
            <w:vAlign w:val="center"/>
          </w:tcPr>
          <w:p>
            <w:pPr>
              <w:jc w:val="left"/>
              <w:rPr>
                <w:rFonts w:ascii="宋体"/>
                <w:color w:val="auto"/>
                <w:szCs w:val="21"/>
                <w:highlight w:val="auto"/>
              </w:rPr>
            </w:pPr>
            <w:r>
              <w:rPr>
                <w:rFonts w:ascii="宋体" w:hint="eastAsia"/>
                <w:color w:val="auto"/>
                <w:szCs w:val="21"/>
                <w:highlight w:val="auto"/>
              </w:rPr>
              <w:t>员工总人数：</w:t>
            </w:r>
          </w:p>
        </w:tc>
      </w:tr>
      <w:tr>
        <w:trPr>
          <w:trHeight w:val="567"/>
        </w:trPr>
        <w:tc>
          <w:tcPr>
            <w:tcW w:w="1485" w:type="dxa"/>
            <w:vMerge w:val="restart"/>
            <w:vAlign w:val="center"/>
          </w:tcPr>
          <w:p>
            <w:pPr>
              <w:jc w:val="center"/>
              <w:rPr>
                <w:rFonts w:ascii="宋体"/>
                <w:color w:val="auto"/>
                <w:szCs w:val="21"/>
                <w:highlight w:val="auto"/>
              </w:rPr>
            </w:pPr>
            <w:r>
              <w:rPr>
                <w:rFonts w:ascii="宋体" w:hint="eastAsia"/>
                <w:color w:val="auto"/>
                <w:szCs w:val="21"/>
                <w:highlight w:val="auto"/>
              </w:rPr>
              <w:t>营业执照号</w:t>
            </w:r>
          </w:p>
        </w:tc>
        <w:tc>
          <w:tcPr>
            <w:tcW w:w="1351" w:type="dxa"/>
            <w:vMerge w:val="restart"/>
            <w:vAlign w:val="center"/>
          </w:tcPr>
          <w:p>
            <w:pPr>
              <w:jc w:val="center"/>
              <w:rPr>
                <w:rFonts w:ascii="宋体"/>
                <w:color w:val="auto"/>
                <w:szCs w:val="21"/>
                <w:highlight w:val="auto"/>
              </w:rPr>
            </w:pPr>
          </w:p>
        </w:tc>
        <w:tc>
          <w:tcPr>
            <w:tcW w:w="993" w:type="dxa"/>
            <w:vMerge w:val="restart"/>
            <w:vAlign w:val="center"/>
          </w:tcPr>
          <w:p>
            <w:pPr>
              <w:jc w:val="center"/>
              <w:rPr>
                <w:rFonts w:ascii="宋体"/>
                <w:color w:val="auto"/>
                <w:szCs w:val="21"/>
                <w:highlight w:val="auto"/>
              </w:rPr>
            </w:pPr>
          </w:p>
        </w:tc>
        <w:tc>
          <w:tcPr>
            <w:tcW w:w="567" w:type="dxa"/>
            <w:vMerge w:val="restart"/>
            <w:vAlign w:val="center"/>
          </w:tcPr>
          <w:p>
            <w:pPr>
              <w:jc w:val="center"/>
              <w:rPr>
                <w:rFonts w:ascii="宋体"/>
                <w:color w:val="auto"/>
                <w:szCs w:val="21"/>
                <w:highlight w:val="auto"/>
              </w:rPr>
            </w:pPr>
            <w:r>
              <w:rPr>
                <w:rFonts w:ascii="宋体" w:hint="eastAsia"/>
                <w:color w:val="auto"/>
                <w:szCs w:val="21"/>
                <w:highlight w:val="auto"/>
              </w:rPr>
              <w:t>其中</w:t>
            </w: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执业资格人员</w:t>
            </w:r>
          </w:p>
        </w:tc>
        <w:tc>
          <w:tcPr>
            <w:tcW w:w="2125" w:type="dxa"/>
            <w:gridSpan w:val="2"/>
            <w:vAlign w:val="center"/>
          </w:tcPr>
          <w:p>
            <w:pPr>
              <w:jc w:val="center"/>
              <w:rPr>
                <w:rFonts w:ascii="宋体"/>
                <w:color w:val="auto"/>
                <w:szCs w:val="21"/>
                <w:highlight w:val="auto"/>
              </w:rPr>
            </w:pPr>
          </w:p>
        </w:tc>
      </w:tr>
      <w:tr>
        <w:trPr>
          <w:trHeight w:val="567"/>
        </w:trPr>
        <w:tc>
          <w:tcPr>
            <w:tcW w:w="1485" w:type="dxa"/>
            <w:vMerge/>
            <w:vAlign w:val="center"/>
          </w:tcPr>
          <w:p/>
        </w:tc>
        <w:tc>
          <w:tcPr>
            <w:tcW w:w="1351" w:type="dxa"/>
            <w:vMerge/>
            <w:vAlign w:val="center"/>
          </w:tcPr>
          <w:p/>
        </w:tc>
        <w:tc>
          <w:tcPr>
            <w:tcW w:w="993" w:type="dxa"/>
            <w:vMerge/>
            <w:vAlign w:val="center"/>
          </w:tc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高级职称人员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注册资金</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中级职称人员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开户银行</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初级职称人员</w:t>
            </w:r>
          </w:p>
        </w:tc>
        <w:tc>
          <w:tcPr>
            <w:tcW w:w="2125" w:type="dxa"/>
            <w:gridSpan w:val="2"/>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账号</w:t>
            </w:r>
          </w:p>
        </w:tc>
        <w:tc>
          <w:tcPr>
            <w:tcW w:w="1351" w:type="dxa"/>
            <w:vAlign w:val="center"/>
          </w:tcPr>
          <w:p>
            <w:pPr>
              <w:jc w:val="center"/>
              <w:rPr>
                <w:rFonts w:ascii="宋体"/>
                <w:color w:val="auto"/>
                <w:szCs w:val="21"/>
                <w:highlight w:val="auto"/>
              </w:rPr>
            </w:pPr>
          </w:p>
        </w:tc>
        <w:tc>
          <w:tcPr>
            <w:tcW w:w="993" w:type="dxa"/>
            <w:vAlign w:val="center"/>
          </w:tcPr>
          <w:p>
            <w:pPr>
              <w:jc w:val="center"/>
              <w:rPr>
                <w:rFonts w:ascii="宋体"/>
                <w:color w:val="auto"/>
                <w:szCs w:val="21"/>
                <w:highlight w:val="auto"/>
              </w:rPr>
            </w:pPr>
          </w:p>
        </w:tc>
        <w:tc>
          <w:tcPr>
            <w:tcW w:w="567" w:type="dxa"/>
            <w:vMerge/>
            <w:vAlign w:val="center"/>
          </w:tcPr>
          <w:p/>
        </w:tc>
        <w:tc>
          <w:tcPr>
            <w:tcW w:w="1984" w:type="dxa"/>
            <w:gridSpan w:val="4"/>
            <w:vAlign w:val="center"/>
          </w:tcPr>
          <w:p>
            <w:pPr>
              <w:jc w:val="center"/>
              <w:rPr>
                <w:rFonts w:ascii="宋体"/>
                <w:color w:val="auto"/>
                <w:szCs w:val="21"/>
                <w:highlight w:val="auto"/>
              </w:rPr>
            </w:pPr>
            <w:r>
              <w:rPr>
                <w:rFonts w:ascii="宋体" w:hint="eastAsia"/>
                <w:color w:val="auto"/>
                <w:szCs w:val="21"/>
                <w:highlight w:val="auto"/>
              </w:rPr>
              <w:t>技</w:t>
            </w:r>
            <w:r>
              <w:rPr>
                <w:rFonts w:ascii="宋体"/>
                <w:color w:val="auto"/>
                <w:szCs w:val="21"/>
                <w:highlight w:val="auto"/>
              </w:rPr>
              <w:t xml:space="preserve">  </w:t>
            </w:r>
            <w:r>
              <w:rPr>
                <w:rFonts w:ascii="宋体" w:hint="eastAsia"/>
                <w:color w:val="auto"/>
                <w:szCs w:val="21"/>
                <w:highlight w:val="auto"/>
              </w:rPr>
              <w:t>工</w:t>
            </w:r>
          </w:p>
        </w:tc>
        <w:tc>
          <w:tcPr>
            <w:tcW w:w="2125" w:type="dxa"/>
            <w:gridSpan w:val="2"/>
            <w:vAlign w:val="center"/>
          </w:tcPr>
          <w:p>
            <w:pPr>
              <w:jc w:val="center"/>
              <w:rPr>
                <w:rFonts w:ascii="宋体"/>
                <w:color w:val="auto"/>
                <w:szCs w:val="21"/>
                <w:highlight w:val="auto"/>
              </w:rPr>
            </w:pPr>
          </w:p>
        </w:tc>
      </w:tr>
      <w:tr>
        <w:trPr>
          <w:trHeight w:val="2004"/>
        </w:trPr>
        <w:tc>
          <w:tcPr>
            <w:tcW w:w="1485" w:type="dxa"/>
            <w:vAlign w:val="center"/>
          </w:tcPr>
          <w:p>
            <w:pPr>
              <w:jc w:val="center"/>
              <w:rPr>
                <w:rFonts w:ascii="宋体"/>
                <w:color w:val="auto"/>
                <w:szCs w:val="21"/>
                <w:highlight w:val="auto"/>
              </w:rPr>
            </w:pPr>
            <w:r>
              <w:rPr>
                <w:rFonts w:ascii="宋体" w:hint="eastAsia"/>
                <w:color w:val="auto"/>
                <w:szCs w:val="21"/>
                <w:highlight w:val="auto"/>
              </w:rPr>
              <w:t>经营范围</w:t>
            </w:r>
          </w:p>
        </w:tc>
        <w:tc>
          <w:tcPr>
            <w:tcW w:w="7020" w:type="dxa"/>
            <w:gridSpan w:val="9"/>
            <w:vAlign w:val="center"/>
          </w:tcPr>
          <w:p>
            <w:pPr>
              <w:jc w:val="center"/>
              <w:rPr>
                <w:rFonts w:ascii="宋体"/>
                <w:color w:val="auto"/>
                <w:szCs w:val="21"/>
                <w:highlight w:val="auto"/>
              </w:rPr>
            </w:pPr>
          </w:p>
        </w:tc>
      </w:tr>
      <w:tr>
        <w:trPr>
          <w:trHeight w:val="567"/>
        </w:trPr>
        <w:tc>
          <w:tcPr>
            <w:tcW w:w="1485" w:type="dxa"/>
            <w:vAlign w:val="center"/>
          </w:tcPr>
          <w:p>
            <w:pPr>
              <w:jc w:val="center"/>
              <w:rPr>
                <w:rFonts w:ascii="宋体"/>
                <w:color w:val="auto"/>
                <w:szCs w:val="21"/>
                <w:highlight w:val="auto"/>
              </w:rPr>
            </w:pPr>
            <w:r>
              <w:rPr>
                <w:rFonts w:ascii="宋体" w:hint="eastAsia"/>
                <w:color w:val="auto"/>
                <w:szCs w:val="21"/>
                <w:highlight w:val="auto"/>
              </w:rPr>
              <w:t>备注</w:t>
            </w:r>
          </w:p>
        </w:tc>
        <w:tc>
          <w:tcPr>
            <w:tcW w:w="7020" w:type="dxa"/>
            <w:gridSpan w:val="9"/>
            <w:vAlign w:val="center"/>
          </w:tcPr>
          <w:p>
            <w:pPr>
              <w:jc w:val="center"/>
              <w:rPr>
                <w:rFonts w:ascii="宋体"/>
                <w:color w:val="auto"/>
                <w:szCs w:val="21"/>
                <w:highlight w:val="auto"/>
              </w:rPr>
            </w:pPr>
          </w:p>
        </w:tc>
      </w:tr>
    </w:tbl>
    <w:p>
      <w:pPr>
        <w:spacing w:line="440" w:lineRule="exact"/>
        <w:rPr>
          <w:rFonts w:ascii="宋体"/>
          <w:color w:val="auto"/>
          <w:szCs w:val="21"/>
          <w:highlight w:val="auto"/>
        </w:rPr>
      </w:pPr>
      <w:r>
        <w:rPr>
          <w:rFonts w:ascii="宋体" w:hint="eastAsia"/>
          <w:color w:val="auto"/>
          <w:szCs w:val="21"/>
          <w:highlight w:val="auto"/>
        </w:rPr>
        <w:t>备注：本表后应附企业法人营业执照等合格证明材料等材料的复印件并加盖投标单位公章。</w:t>
      </w:r>
    </w:p>
    <w:p>
      <w:pPr>
        <w:pStyle w:val="44"/>
        <w:numPr>
          <w:ilvl w:val="0"/>
          <w:numId w:val="7"/>
        </w:numPr>
        <w:shd w:val="clear" w:color="auto" w:fill="FFFFFF"/>
        <w:adjustRightInd w:val="0"/>
        <w:snapToGrid w:val="0"/>
        <w:spacing w:before="0" w:beforeAutospacing="0" w:after="0" w:afterAutospacing="0" w:line="360" w:lineRule="auto"/>
        <w:rPr>
          <w:rFonts w:hint="eastAsia"/>
          <w:color w:val="auto"/>
          <w:lang w:val="en-US" w:eastAsia="zh-CN"/>
          <w:highlight w:val="auto"/>
        </w:rPr>
      </w:pPr>
      <w:r>
        <w:rPr>
          <w:color w:val="auto"/>
          <w:highlight w:val="auto"/>
        </w:rPr>
        <w:br w:type="page"/>
      </w:r>
      <w:r>
        <w:rPr>
          <w:rFonts w:hint="eastAsia"/>
          <w:color w:val="auto"/>
          <w:lang w:val="en-US" w:eastAsia="zh-CN"/>
          <w:highlight w:val="auto"/>
        </w:rPr>
        <w:t>投标人认为需要提供的其他资料（</w:t>
      </w:r>
      <w:r>
        <w:rPr>
          <w:rFonts w:hint="eastAsia"/>
          <w:b/>
          <w:bCs/>
          <w:i w:val="0"/>
          <w:iCs w:val="0"/>
          <w:color w:val="auto"/>
          <w:u w:val="single"/>
          <w:lang w:val="en-US" w:eastAsia="zh-CN"/>
          <w:highlight w:val="auto"/>
        </w:rPr>
        <w:t>货物配置清单（不含报价）等内容</w:t>
      </w:r>
      <w:r>
        <w:rPr>
          <w:rFonts w:hint="eastAsia"/>
          <w:color w:val="auto"/>
          <w:lang w:val="en-US" w:eastAsia="zh-CN"/>
          <w:highlight w:val="auto"/>
        </w:rPr>
        <w:t>）</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0"/>
        <w:gridCol w:w="1695"/>
        <w:gridCol w:w="1724"/>
        <w:gridCol w:w="2821"/>
        <w:gridCol w:w="1275"/>
      </w:tblGrid>
      <w:tr>
        <w:tc>
          <w:tcPr>
            <w:tcW w:w="940"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序号</w:t>
            </w:r>
          </w:p>
        </w:tc>
        <w:tc>
          <w:tcPr>
            <w:tcW w:w="1695"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所投产品名称</w:t>
            </w:r>
          </w:p>
        </w:tc>
        <w:tc>
          <w:tcPr>
            <w:tcW w:w="1724"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规格型号、产地</w:t>
            </w:r>
          </w:p>
        </w:tc>
        <w:tc>
          <w:tcPr>
            <w:tcW w:w="2821"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详细参数</w:t>
            </w:r>
          </w:p>
        </w:tc>
        <w:tc>
          <w:tcPr>
            <w:tcW w:w="1275" w:type="dxa"/>
          </w:tcPr>
          <w:p>
            <w:pPr>
              <w:pStyle w:val="44"/>
              <w:shd w:val="clear" w:color="auto" w:fill="FFFFFF"/>
              <w:adjustRightInd w:val="0"/>
              <w:snapToGrid w:val="0"/>
              <w:spacing w:before="0" w:beforeAutospacing="0" w:after="0" w:afterAutospacing="0" w:line="360" w:lineRule="auto"/>
              <w:rPr>
                <w:color w:val="auto"/>
                <w:lang w:val="en-US" w:eastAsia="zh-CN"/>
                <w:highlight w:val="auto"/>
              </w:rPr>
            </w:pPr>
            <w:r>
              <w:rPr>
                <w:rFonts w:hint="eastAsia"/>
                <w:color w:val="auto"/>
                <w:lang w:val="en-US" w:eastAsia="zh-CN"/>
                <w:highlight w:val="auto"/>
              </w:rPr>
              <w:t>备注</w:t>
            </w: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auto"/>
                <w:vertAlign w:val="baseline"/>
                <w:lang w:val="en-US" w:eastAsia="zh-CN"/>
                <w:highlight w:val="auto"/>
              </w:rPr>
            </w:pPr>
          </w:p>
        </w:tc>
      </w:tr>
    </w:tbl>
    <w:p>
      <w:pPr>
        <w:pStyle w:val="44"/>
        <w:shd w:val="clear" w:color="auto" w:fill="FFFFFF"/>
        <w:adjustRightInd w:val="0"/>
        <w:snapToGrid w:val="0"/>
        <w:spacing w:before="0" w:beforeAutospacing="0" w:after="0" w:afterAutospacing="0" w:line="360" w:lineRule="auto"/>
        <w:rPr>
          <w:rFonts w:hint="eastAsia"/>
          <w:color w:val="auto"/>
          <w:lang w:val="en-US" w:eastAsia="zh-CN"/>
          <w:highlight w:val="auto"/>
        </w:rPr>
      </w:pPr>
    </w:p>
    <w:p>
      <w:pPr>
        <w:spacing w:line="360" w:lineRule="auto"/>
        <w:rPr>
          <w:rFonts w:ascii="宋体" w:cs="宋体"/>
          <w:color w:val="auto"/>
          <w:spacing w:val="-6"/>
          <w:szCs w:val="21"/>
          <w:highlight w:val="auto"/>
        </w:rPr>
      </w:pPr>
      <w:r>
        <w:rPr>
          <w:rFonts w:ascii="宋体" w:hint="eastAsia"/>
          <w:color w:val="auto"/>
          <w:szCs w:val="21"/>
          <w:shd w:val="clear" w:color="auto" w:fill="FFFFFF"/>
          <w:highlight w:val="auto"/>
        </w:rPr>
        <w:t>投标人名称</w:t>
      </w:r>
      <w:r>
        <w:rPr>
          <w:rFonts w:ascii="宋体" w:cs="宋体" w:hint="eastAsia"/>
          <w:color w:val="auto"/>
          <w:spacing w:val="-6"/>
          <w:szCs w:val="21"/>
          <w:highlight w:val="auto"/>
        </w:rPr>
        <w:t>（盖章）：</w:t>
      </w:r>
    </w:p>
    <w:p>
      <w:pPr>
        <w:spacing w:line="360" w:lineRule="auto"/>
        <w:rPr>
          <w:rFonts w:ascii="宋体"/>
          <w:color w:val="auto"/>
          <w:szCs w:val="21"/>
          <w:highlight w:val="auto"/>
        </w:rPr>
      </w:pPr>
      <w:r>
        <w:rPr>
          <w:rFonts w:ascii="宋体" w:hint="eastAsia"/>
          <w:color w:val="auto"/>
          <w:szCs w:val="21"/>
          <w:highlight w:val="auto"/>
        </w:rPr>
        <w:t>法定代表人或其委托代理人：     （签字或盖章）</w:t>
      </w:r>
    </w:p>
    <w:p>
      <w:pPr>
        <w:pStyle w:val="44"/>
        <w:tabs>
          <w:tab w:val="left" w:pos="312"/>
        </w:tabs>
        <w:adjustRightInd w:val="0"/>
        <w:snapToGrid w:val="0"/>
        <w:spacing w:before="0" w:beforeAutospacing="0" w:after="0" w:afterAutospacing="0" w:line="360" w:lineRule="auto"/>
        <w:ind w:leftChars="200" w:left="420"/>
        <w:rPr>
          <w:color w:val="auto"/>
          <w:highlight w:val="auto"/>
        </w:rPr>
      </w:pPr>
      <w:r>
        <w:rPr>
          <w:b/>
          <w:bCs/>
          <w:color w:val="auto"/>
          <w:sz w:val="21"/>
          <w:szCs w:val="21"/>
          <w:highlight w:val="auto"/>
        </w:rPr>
        <w:br w:type="page"/>
      </w:r>
    </w:p>
    <w:p>
      <w:pPr>
        <w:pStyle w:val="2"/>
        <w:numPr>
          <w:ilvl w:val="0"/>
          <w:numId w:val="0"/>
        </w:numPr>
        <w:tabs>
          <w:tab w:val="clear" w:pos="425"/>
        </w:tabs>
        <w:adjustRightInd w:val="0"/>
        <w:snapToGrid w:val="0"/>
        <w:spacing w:beforeLines="50" w:before="120" w:after="0" w:line="360" w:lineRule="auto"/>
        <w:ind w:left="567"/>
        <w:rPr>
          <w:rFonts w:ascii="宋体" w:eastAsia="宋体"/>
          <w:color w:val="auto"/>
          <w:sz w:val="24"/>
          <w:szCs w:val="24"/>
          <w:highlight w:val="auto"/>
        </w:rPr>
      </w:pPr>
      <w:r>
        <w:rPr>
          <w:rFonts w:ascii="宋体" w:eastAsia="宋体" w:hint="eastAsia"/>
          <w:color w:val="auto"/>
          <w:sz w:val="24"/>
          <w:szCs w:val="24"/>
          <w:lang w:val="en-US" w:eastAsia="zh-CN"/>
          <w:highlight w:val="auto"/>
        </w:rPr>
        <w:t>6.15</w:t>
      </w:r>
      <w:r>
        <w:rPr>
          <w:rFonts w:ascii="宋体" w:eastAsia="宋体" w:hint="eastAsia"/>
          <w:color w:val="auto"/>
          <w:sz w:val="24"/>
          <w:szCs w:val="24"/>
          <w:highlight w:val="auto"/>
        </w:rPr>
        <w:t>投标函</w:t>
      </w:r>
    </w:p>
    <w:p>
      <w:pPr>
        <w:adjustRightInd w:val="0"/>
        <w:snapToGrid w:val="0"/>
        <w:spacing w:line="360" w:lineRule="auto"/>
        <w:ind w:firstLineChars="200" w:firstLine="480"/>
        <w:jc w:val="center"/>
        <w:rPr>
          <w:rFonts w:ascii="宋体"/>
          <w:color w:val="auto"/>
          <w:sz w:val="24"/>
          <w:highlight w:val="auto"/>
        </w:rPr>
      </w:pPr>
      <w:r>
        <w:rPr>
          <w:rFonts w:ascii="宋体" w:hint="eastAsia"/>
          <w:b/>
          <w:color w:val="auto"/>
          <w:sz w:val="24"/>
          <w:u w:val="single"/>
          <w:highlight w:val="auto"/>
        </w:rPr>
        <w:t>投标函</w:t>
      </w:r>
    </w:p>
    <w:p>
      <w:pPr>
        <w:adjustRightInd w:val="0"/>
        <w:snapToGrid w:val="0"/>
        <w:spacing w:line="360" w:lineRule="auto"/>
        <w:rPr>
          <w:rFonts w:ascii="宋体"/>
          <w:color w:val="auto"/>
          <w:szCs w:val="21"/>
          <w:highlight w:val="auto"/>
        </w:rPr>
      </w:pPr>
      <w:r>
        <w:rPr>
          <w:rFonts w:ascii="宋体" w:hint="eastAsia"/>
          <w:color w:val="auto"/>
          <w:szCs w:val="21"/>
          <w:highlight w:val="auto"/>
        </w:rPr>
        <w:t>致：</w:t>
      </w:r>
      <w:r>
        <w:rPr>
          <w:rFonts w:ascii="宋体" w:hint="eastAsia"/>
          <w:color w:val="auto"/>
          <w:szCs w:val="21"/>
          <w:u w:val="single"/>
          <w:highlight w:val="auto"/>
        </w:rPr>
        <w:t>（采购人）</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根据采购人为</w:t>
      </w:r>
      <w:r>
        <w:rPr>
          <w:rFonts w:ascii="宋体" w:hint="eastAsia"/>
          <w:color w:val="auto"/>
          <w:szCs w:val="21"/>
          <w:u w:val="single"/>
          <w:highlight w:val="auto"/>
        </w:rPr>
        <w:t>（项目名称）</w:t>
      </w:r>
      <w:r>
        <w:rPr>
          <w:rFonts w:ascii="宋体" w:hint="eastAsia"/>
          <w:color w:val="auto"/>
          <w:szCs w:val="21"/>
          <w:highlight w:val="auto"/>
        </w:rPr>
        <w:t>项目招标采购服务的投标</w:t>
      </w:r>
      <w:r>
        <w:rPr>
          <w:rFonts w:ascii="宋体"/>
          <w:color w:val="auto"/>
          <w:szCs w:val="21"/>
          <w:u w:val="single"/>
          <w:highlight w:val="auto"/>
        </w:rPr>
        <w:t xml:space="preserve">  (</w:t>
      </w:r>
      <w:r>
        <w:rPr>
          <w:rFonts w:ascii="宋体" w:hint="eastAsia"/>
          <w:color w:val="auto"/>
          <w:szCs w:val="21"/>
          <w:u w:val="single"/>
          <w:highlight w:val="auto"/>
        </w:rPr>
        <w:t>项目编号）</w:t>
      </w:r>
      <w:r>
        <w:rPr>
          <w:rFonts w:ascii="宋体"/>
          <w:color w:val="auto"/>
          <w:szCs w:val="21"/>
          <w:u w:val="single"/>
          <w:highlight w:val="auto"/>
        </w:rPr>
        <w:t xml:space="preserve"> </w:t>
      </w:r>
      <w:r>
        <w:rPr>
          <w:rFonts w:ascii="宋体" w:hint="eastAsia"/>
          <w:color w:val="auto"/>
          <w:szCs w:val="21"/>
          <w:highlight w:val="auto"/>
        </w:rPr>
        <w:t>，供应商</w:t>
      </w:r>
      <w:r>
        <w:rPr>
          <w:rFonts w:ascii="宋体"/>
          <w:color w:val="auto"/>
          <w:szCs w:val="21"/>
          <w:u w:val="single"/>
          <w:highlight w:val="auto"/>
        </w:rPr>
        <w:t xml:space="preserve">  (</w:t>
      </w:r>
      <w:r>
        <w:rPr>
          <w:rFonts w:ascii="宋体" w:hint="eastAsia"/>
          <w:color w:val="auto"/>
          <w:szCs w:val="21"/>
          <w:u w:val="single"/>
          <w:highlight w:val="auto"/>
        </w:rPr>
        <w:t>供应商名称、地址）</w:t>
      </w:r>
      <w:r>
        <w:rPr>
          <w:rFonts w:ascii="宋体"/>
          <w:color w:val="auto"/>
          <w:szCs w:val="21"/>
          <w:u w:val="single"/>
          <w:highlight w:val="auto"/>
        </w:rPr>
        <w:t xml:space="preserve"> </w:t>
      </w:r>
      <w:r>
        <w:rPr>
          <w:rFonts w:ascii="宋体" w:hint="eastAsia"/>
          <w:color w:val="auto"/>
          <w:szCs w:val="21"/>
          <w:highlight w:val="auto"/>
        </w:rPr>
        <w:t>提交下述文件正本一份及副本四份</w:t>
      </w:r>
      <w:r>
        <w:rPr>
          <w:rFonts w:ascii="宋体" w:hint="eastAsia"/>
          <w:color w:val="auto"/>
          <w:szCs w:val="21"/>
          <w:lang w:eastAsia="zh-CN"/>
          <w:highlight w:val="auto"/>
        </w:rPr>
        <w:t>，</w:t>
      </w:r>
      <w:r>
        <w:rPr>
          <w:rFonts w:ascii="宋体" w:hint="eastAsia"/>
          <w:color w:val="auto"/>
          <w:szCs w:val="21"/>
          <w:lang w:val="en-US" w:eastAsia="zh-CN"/>
          <w:highlight w:val="auto"/>
        </w:rPr>
        <w:t>电子文档一份</w:t>
      </w:r>
      <w:r>
        <w:rPr>
          <w:rFonts w:ascii="宋体" w:hint="eastAsia"/>
          <w:color w:val="auto"/>
          <w:szCs w:val="21"/>
          <w:highlight w:val="auto"/>
        </w:rPr>
        <w:t>：</w:t>
      </w:r>
    </w:p>
    <w:p>
      <w:pPr>
        <w:numPr>
          <w:ilvl w:val="0"/>
          <w:numId w:val="8"/>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lang w:val="en-US" w:eastAsia="zh-CN"/>
          <w:highlight w:val="auto"/>
        </w:rPr>
        <w:t>投标函</w:t>
      </w:r>
    </w:p>
    <w:p>
      <w:pPr>
        <w:numPr>
          <w:ilvl w:val="0"/>
          <w:numId w:val="8"/>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highlight w:val="auto"/>
        </w:rPr>
        <w:t>开标一览表</w:t>
      </w:r>
    </w:p>
    <w:p>
      <w:pPr>
        <w:numPr>
          <w:ilvl w:val="0"/>
          <w:numId w:val="8"/>
        </w:numPr>
        <w:adjustRightInd w:val="0"/>
        <w:snapToGrid w:val="0"/>
        <w:spacing w:line="360" w:lineRule="auto"/>
        <w:ind w:left="0" w:firstLineChars="200" w:firstLine="420"/>
        <w:rPr>
          <w:rFonts w:ascii="宋体"/>
          <w:color w:val="auto"/>
          <w:szCs w:val="21"/>
          <w:highlight w:val="auto"/>
        </w:rPr>
      </w:pPr>
      <w:r>
        <w:rPr>
          <w:rFonts w:ascii="宋体" w:hint="eastAsia"/>
          <w:color w:val="auto"/>
          <w:szCs w:val="21"/>
          <w:highlight w:val="auto"/>
        </w:rPr>
        <w:t>报价明细表</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 xml:space="preserve">    </w:t>
      </w:r>
      <w:r>
        <w:rPr>
          <w:rFonts w:ascii="宋体" w:hint="eastAsia"/>
          <w:color w:val="auto"/>
          <w:szCs w:val="21"/>
          <w:highlight w:val="auto"/>
        </w:rPr>
        <w:t>据此，供应商同意如下内容：</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1</w:t>
      </w:r>
      <w:r>
        <w:rPr>
          <w:rFonts w:ascii="宋体" w:hint="eastAsia"/>
          <w:color w:val="auto"/>
          <w:szCs w:val="21"/>
          <w:highlight w:val="auto"/>
        </w:rPr>
        <w:t>、所附投标价格表中规定的投标总价为</w:t>
      </w:r>
      <w:r>
        <w:rPr>
          <w:rFonts w:ascii="宋体" w:hint="eastAsia"/>
          <w:color w:val="auto"/>
          <w:szCs w:val="21"/>
          <w:lang w:val="en-US" w:eastAsia="zh-CN"/>
          <w:highlight w:val="auto"/>
        </w:rPr>
        <w:t xml:space="preserve"> </w:t>
      </w:r>
      <w:r>
        <w:rPr>
          <w:rFonts w:ascii="宋体" w:hint="eastAsia"/>
          <w:color w:val="auto"/>
          <w:szCs w:val="21"/>
          <w:u w:val="single"/>
          <w:lang w:val="en-US" w:eastAsia="zh-CN"/>
          <w:highlight w:val="auto"/>
        </w:rPr>
        <w:t xml:space="preserve"> 详见开标一览表</w:t>
      </w:r>
      <w:r>
        <w:rPr>
          <w:rFonts w:ascii="宋体" w:hint="eastAsia"/>
          <w:color w:val="auto"/>
          <w:szCs w:val="21"/>
          <w:u w:val="single"/>
          <w:highlight w:val="auto"/>
        </w:rPr>
        <w:t>（注明币种，并用文字和数字表示的投标总价）</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2</w:t>
      </w:r>
      <w:r>
        <w:rPr>
          <w:rFonts w:ascii="宋体" w:hint="eastAsia"/>
          <w:color w:val="auto"/>
          <w:szCs w:val="21"/>
          <w:highlight w:val="auto"/>
        </w:rPr>
        <w:t>、供应商将按采购文件的规定履行合同责任和义务。</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3</w:t>
      </w:r>
      <w:r>
        <w:rPr>
          <w:rFonts w:ascii="宋体" w:hint="eastAsia"/>
          <w:color w:val="auto"/>
          <w:szCs w:val="21"/>
          <w:highlight w:val="auto"/>
        </w:rPr>
        <w:t>、供应商已详细审解读全部采购文件，（包括第编号、补遗书）（如</w:t>
      </w:r>
      <w:r>
        <w:rPr>
          <w:rFonts w:ascii="宋体" w:hint="eastAsia"/>
          <w:color w:val="auto"/>
          <w:szCs w:val="21"/>
          <w:lang w:val="en-US" w:eastAsia="zh-CN"/>
          <w:highlight w:val="auto"/>
        </w:rPr>
        <w:t>有</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4</w:t>
      </w:r>
      <w:r>
        <w:rPr>
          <w:rFonts w:ascii="宋体" w:hint="eastAsia"/>
          <w:color w:val="auto"/>
          <w:szCs w:val="21"/>
          <w:highlight w:val="auto"/>
        </w:rPr>
        <w:t>、遵从本投标有效期为</w:t>
      </w:r>
      <w:r>
        <w:rPr>
          <w:rFonts w:ascii="宋体"/>
          <w:color w:val="auto"/>
          <w:szCs w:val="21"/>
          <w:highlight w:val="auto"/>
        </w:rPr>
        <w:t xml:space="preserve"> </w:t>
      </w:r>
      <w:r>
        <w:rPr>
          <w:rFonts w:ascii="宋体"/>
          <w:color w:val="auto"/>
          <w:szCs w:val="21"/>
          <w:u w:val="single"/>
          <w:highlight w:val="auto"/>
        </w:rPr>
        <w:t xml:space="preserve">      </w:t>
      </w:r>
      <w:r>
        <w:rPr>
          <w:rFonts w:ascii="宋体" w:hint="eastAsia"/>
          <w:color w:val="auto"/>
          <w:szCs w:val="21"/>
          <w:u w:val="none"/>
          <w:lang w:val="en-US" w:eastAsia="zh-CN"/>
          <w:highlight w:val="auto"/>
        </w:rPr>
        <w:t>日历</w:t>
      </w:r>
      <w:r>
        <w:rPr>
          <w:rFonts w:ascii="宋体" w:hint="eastAsia"/>
          <w:color w:val="auto"/>
          <w:szCs w:val="21"/>
          <w:u w:val="none"/>
          <w:highlight w:val="auto"/>
        </w:rPr>
        <w:t>天</w:t>
      </w:r>
      <w:r>
        <w:rPr>
          <w:rFonts w:ascii="宋体" w:hint="eastAsia"/>
          <w:color w:val="auto"/>
          <w:szCs w:val="21"/>
          <w:highlight w:val="auto"/>
        </w:rPr>
        <w:t>。</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5</w:t>
      </w:r>
      <w:r>
        <w:rPr>
          <w:rFonts w:ascii="宋体" w:hint="eastAsia"/>
          <w:color w:val="auto"/>
          <w:szCs w:val="21"/>
          <w:highlight w:val="auto"/>
        </w:rPr>
        <w:t>、我方承诺，与贵方聘请的为此项目提供咨询服务的公司及任何附属机构均无关联关系，我方不是贵方的附属机构。</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6</w:t>
      </w:r>
      <w:r>
        <w:rPr>
          <w:rFonts w:ascii="宋体" w:hint="eastAsia"/>
          <w:color w:val="auto"/>
          <w:szCs w:val="21"/>
          <w:highlight w:val="auto"/>
        </w:rPr>
        <w:t>、我方同意提供按照贵方可能要求的与其投标有关的一切数据或资料，完全理解贵方不一定接受最低价的投标。</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7</w:t>
      </w:r>
      <w:r>
        <w:rPr>
          <w:rFonts w:ascii="宋体" w:hint="eastAsia"/>
          <w:color w:val="auto"/>
          <w:szCs w:val="21"/>
          <w:highlight w:val="auto"/>
        </w:rPr>
        <w:t>、我方承诺：我方不得将本次招标或合同的有关资料向第三方透露。</w:t>
      </w:r>
    </w:p>
    <w:p>
      <w:pPr>
        <w:adjustRightInd w:val="0"/>
        <w:snapToGrid w:val="0"/>
        <w:spacing w:line="360" w:lineRule="auto"/>
        <w:ind w:firstLineChars="200" w:firstLine="420"/>
        <w:rPr>
          <w:rFonts w:ascii="宋体"/>
          <w:color w:val="auto"/>
          <w:szCs w:val="21"/>
          <w:highlight w:val="auto"/>
        </w:rPr>
      </w:pPr>
      <w:r>
        <w:rPr>
          <w:rFonts w:ascii="宋体"/>
          <w:color w:val="auto"/>
          <w:szCs w:val="21"/>
          <w:highlight w:val="auto"/>
        </w:rPr>
        <w:t>8</w:t>
      </w:r>
      <w:r>
        <w:rPr>
          <w:rFonts w:ascii="宋体" w:hint="eastAsia"/>
          <w:color w:val="auto"/>
          <w:szCs w:val="21"/>
          <w:highlight w:val="auto"/>
        </w:rPr>
        <w:t>、与本投标有关的一切正式往来信函请寄：</w:t>
      </w:r>
    </w:p>
    <w:p>
      <w:pPr>
        <w:adjustRightInd w:val="0"/>
        <w:snapToGrid w:val="0"/>
        <w:spacing w:line="360" w:lineRule="auto"/>
        <w:ind w:firstLineChars="200" w:firstLine="420"/>
        <w:rPr>
          <w:rFonts w:ascii="宋体"/>
          <w:color w:val="auto"/>
          <w:szCs w:val="21"/>
          <w:u w:val="single"/>
          <w:highlight w:val="auto"/>
        </w:rPr>
      </w:pPr>
      <w:r>
        <w:rPr>
          <w:rFonts w:ascii="宋体" w:hint="eastAsia"/>
          <w:color w:val="auto"/>
          <w:szCs w:val="21"/>
          <w:highlight w:val="auto"/>
        </w:rPr>
        <w:t>地址</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邮编</w:t>
      </w:r>
      <w:r>
        <w:rPr>
          <w:rFonts w:ascii="宋体"/>
          <w:color w:val="auto"/>
          <w:szCs w:val="21"/>
          <w:u w:val="single"/>
          <w:highlight w:val="auto"/>
        </w:rPr>
        <w:t xml:space="preserve">                 </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传真</w:t>
      </w:r>
      <w:r>
        <w:rPr>
          <w:rFonts w:ascii="宋体"/>
          <w:color w:val="auto"/>
          <w:szCs w:val="21"/>
          <w:u w:val="single"/>
          <w:highlight w:val="auto"/>
        </w:rPr>
        <w:t xml:space="preserve">                      </w:t>
      </w:r>
      <w:r>
        <w:rPr>
          <w:rFonts w:ascii="宋体"/>
          <w:color w:val="auto"/>
          <w:szCs w:val="21"/>
          <w:highlight w:val="auto"/>
        </w:rPr>
        <w:t xml:space="preserve">           </w:t>
      </w:r>
      <w:r>
        <w:rPr>
          <w:rFonts w:ascii="宋体" w:hint="eastAsia"/>
          <w:color w:val="auto"/>
          <w:szCs w:val="21"/>
          <w:highlight w:val="auto"/>
        </w:rPr>
        <w:t>电话</w:t>
      </w:r>
      <w:r>
        <w:rPr>
          <w:rFonts w:ascii="宋体"/>
          <w:color w:val="auto"/>
          <w:szCs w:val="21"/>
          <w:u w:val="single"/>
          <w:highlight w:val="auto"/>
        </w:rPr>
        <w:t xml:space="preserve">                 </w:t>
      </w:r>
      <w:r>
        <w:rPr>
          <w:rFonts w:ascii="宋体"/>
          <w:color w:val="auto"/>
          <w:szCs w:val="21"/>
          <w:highlight w:val="auto"/>
        </w:rPr>
        <w:t xml:space="preserve">  </w:t>
      </w:r>
    </w:p>
    <w:p>
      <w:pPr>
        <w:adjustRightInd w:val="0"/>
        <w:snapToGrid w:val="0"/>
        <w:spacing w:line="360" w:lineRule="auto"/>
        <w:ind w:firstLineChars="200" w:firstLine="420"/>
        <w:rPr>
          <w:rFonts w:ascii="宋体"/>
          <w:color w:val="auto"/>
          <w:szCs w:val="21"/>
          <w:highlight w:val="auto"/>
        </w:rPr>
      </w:pPr>
      <w:r>
        <w:rPr>
          <w:rFonts w:ascii="宋体" w:hint="eastAsia"/>
          <w:color w:val="auto"/>
          <w:szCs w:val="21"/>
          <w:highlight w:val="auto"/>
        </w:rPr>
        <w:t>电子邮箱</w:t>
      </w:r>
      <w:r>
        <w:rPr>
          <w:rFonts w:ascii="宋体"/>
          <w:color w:val="auto"/>
          <w:szCs w:val="21"/>
          <w:u w:val="single"/>
          <w:highlight w:val="auto"/>
        </w:rPr>
        <w:t xml:space="preserve">                    </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lang w:val="en-US" w:eastAsia="zh-CN"/>
          <w:highlight w:val="auto"/>
        </w:rPr>
        <w:t>投标人</w:t>
      </w:r>
      <w:r>
        <w:rPr>
          <w:rFonts w:ascii="宋体" w:hint="eastAsia"/>
          <w:color w:val="auto"/>
          <w:szCs w:val="21"/>
          <w:highlight w:val="auto"/>
        </w:rPr>
        <w:t>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r>
        <w:rPr>
          <w:rFonts w:ascii="宋体"/>
          <w:color w:val="auto"/>
          <w:szCs w:val="21"/>
          <w:highlight w:val="auto"/>
        </w:rPr>
        <w:t xml:space="preserve">  </w:t>
      </w:r>
    </w:p>
    <w:p>
      <w:pPr>
        <w:adjustRightInd w:val="0"/>
        <w:snapToGrid w:val="0"/>
        <w:spacing w:line="360" w:lineRule="auto"/>
        <w:ind w:firstLineChars="200" w:firstLine="420"/>
        <w:jc w:val="right"/>
        <w:rPr>
          <w:rFonts w:ascii="宋体"/>
          <w:color w:val="auto"/>
          <w:sz w:val="24"/>
          <w:highlight w:val="auto"/>
        </w:rPr>
      </w:pPr>
      <w:r>
        <w:rPr>
          <w:rFonts w:ascii="宋体"/>
          <w:color w:val="auto"/>
          <w:szCs w:val="21"/>
          <w:u w:val="single"/>
          <w:highlight w:val="auto"/>
        </w:rPr>
        <w:t xml:space="preserve">       </w:t>
      </w:r>
      <w:r>
        <w:rPr>
          <w:rFonts w:ascii="宋体" w:hint="eastAsia"/>
          <w:color w:val="auto"/>
          <w:szCs w:val="21"/>
          <w:highlight w:val="auto"/>
        </w:rPr>
        <w:t>年</w:t>
      </w:r>
      <w:r>
        <w:rPr>
          <w:rFonts w:ascii="宋体"/>
          <w:color w:val="auto"/>
          <w:szCs w:val="21"/>
          <w:u w:val="single"/>
          <w:highlight w:val="auto"/>
        </w:rPr>
        <w:t xml:space="preserve">       </w:t>
      </w:r>
      <w:r>
        <w:rPr>
          <w:rFonts w:ascii="宋体" w:hint="eastAsia"/>
          <w:color w:val="auto"/>
          <w:szCs w:val="21"/>
          <w:highlight w:val="auto"/>
        </w:rPr>
        <w:t>月</w:t>
      </w:r>
      <w:r>
        <w:rPr>
          <w:rFonts w:ascii="宋体"/>
          <w:color w:val="auto"/>
          <w:szCs w:val="21"/>
          <w:u w:val="single"/>
          <w:highlight w:val="auto"/>
        </w:rPr>
        <w:t xml:space="preserve">       </w:t>
      </w:r>
      <w:r>
        <w:rPr>
          <w:rFonts w:ascii="宋体" w:hint="eastAsia"/>
          <w:color w:val="auto"/>
          <w:szCs w:val="21"/>
          <w:highlight w:val="auto"/>
        </w:rPr>
        <w:t>日</w:t>
      </w:r>
    </w:p>
    <w:p>
      <w:pPr>
        <w:pStyle w:val="2"/>
        <w:numPr>
          <w:ilvl w:val="0"/>
          <w:numId w:val="0"/>
        </w:numPr>
        <w:tabs>
          <w:tab w:val="clear" w:pos="425"/>
        </w:tabs>
        <w:adjustRightInd w:val="0"/>
        <w:snapToGrid w:val="0"/>
        <w:spacing w:beforeLines="50" w:before="120" w:after="0" w:line="360" w:lineRule="auto"/>
        <w:ind w:left="567"/>
        <w:rPr>
          <w:rFonts w:ascii="宋体" w:eastAsia="宋体"/>
          <w:b w:val="0"/>
          <w:color w:val="auto"/>
          <w:sz w:val="24"/>
          <w:szCs w:val="24"/>
          <w:highlight w:val="auto"/>
        </w:rPr>
      </w:pPr>
      <w:r>
        <w:rPr>
          <w:rFonts w:ascii="宋体" w:eastAsia="宋体"/>
          <w:color w:val="auto"/>
          <w:sz w:val="24"/>
          <w:highlight w:val="auto"/>
        </w:rPr>
        <w:br w:type="page"/>
      </w:r>
      <w:bookmarkStart w:id="139" w:name="_Toc468296146"/>
      <w:bookmarkStart w:id="140" w:name="_Toc31880"/>
      <w:bookmarkStart w:id="141" w:name="_Toc368993658"/>
      <w:bookmarkStart w:id="142" w:name="_Toc227057967"/>
      <w:bookmarkStart w:id="143" w:name="_Toc107822559"/>
      <w:bookmarkStart w:id="144" w:name="_Toc60757541"/>
      <w:bookmarkStart w:id="145" w:name="_Toc226969361"/>
      <w:bookmarkStart w:id="146" w:name="_Toc371002590"/>
      <w:bookmarkStart w:id="147" w:name="_Toc488655908"/>
      <w:r>
        <w:rPr>
          <w:rFonts w:ascii="宋体" w:eastAsia="宋体"/>
          <w:color w:val="auto"/>
          <w:sz w:val="24"/>
          <w:szCs w:val="24"/>
          <w:highlight w:val="auto"/>
        </w:rPr>
        <w:t>6.</w:t>
      </w:r>
      <w:r>
        <w:rPr>
          <w:rFonts w:ascii="宋体" w:eastAsia="宋体" w:hint="eastAsia"/>
          <w:color w:val="auto"/>
          <w:sz w:val="24"/>
          <w:szCs w:val="24"/>
          <w:lang w:val="en-US" w:eastAsia="zh-CN"/>
          <w:highlight w:val="auto"/>
        </w:rPr>
        <w:t>16-1</w:t>
      </w:r>
      <w:r>
        <w:rPr>
          <w:rFonts w:ascii="宋体" w:eastAsia="宋体"/>
          <w:color w:val="auto"/>
          <w:sz w:val="24"/>
          <w:szCs w:val="24"/>
          <w:highlight w:val="auto"/>
        </w:rPr>
        <w:t xml:space="preserve">  </w:t>
      </w:r>
      <w:r>
        <w:rPr>
          <w:rFonts w:ascii="宋体" w:eastAsia="宋体" w:hint="eastAsia"/>
          <w:color w:val="auto"/>
          <w:sz w:val="24"/>
          <w:szCs w:val="24"/>
          <w:highlight w:val="auto"/>
        </w:rPr>
        <w:t>开标一览表</w:t>
      </w:r>
      <w:bookmarkEnd w:id="139"/>
      <w:bookmarkEnd w:id="140"/>
      <w:bookmarkEnd w:id="141"/>
      <w:bookmarkEnd w:id="142"/>
      <w:bookmarkEnd w:id="143"/>
      <w:bookmarkEnd w:id="144"/>
      <w:bookmarkEnd w:id="145"/>
      <w:bookmarkEnd w:id="146"/>
    </w:p>
    <w:p>
      <w:pPr>
        <w:jc w:val="center"/>
        <w:rPr>
          <w:rFonts w:ascii="宋体"/>
          <w:b/>
          <w:color w:val="auto"/>
          <w:sz w:val="24"/>
          <w:highlight w:val="auto"/>
        </w:rPr>
      </w:pPr>
      <w:bookmarkStart w:id="148" w:name="_Toc106527636"/>
    </w:p>
    <w:p>
      <w:pPr>
        <w:adjustRightInd w:val="0"/>
        <w:snapToGrid w:val="0"/>
        <w:spacing w:line="360" w:lineRule="auto"/>
        <w:jc w:val="center"/>
        <w:rPr>
          <w:rFonts w:ascii="宋体" w:eastAsia="宋体"/>
          <w:b/>
          <w:snapToGrid w:val="0"/>
          <w:color w:val="auto"/>
          <w:kern w:val="0"/>
          <w:sz w:val="32"/>
          <w:szCs w:val="32"/>
          <w:lang w:val="en-US" w:eastAsia="zh-CN"/>
          <w:highlight w:val="auto"/>
        </w:rPr>
      </w:pPr>
      <w:bookmarkEnd w:id="147"/>
      <w:bookmarkEnd w:id="148"/>
      <w:r>
        <w:rPr>
          <w:rFonts w:ascii="宋体" w:hint="eastAsia"/>
          <w:b/>
          <w:snapToGrid w:val="0"/>
          <w:color w:val="auto"/>
          <w:kern w:val="0"/>
          <w:sz w:val="32"/>
          <w:szCs w:val="32"/>
          <w:highlight w:val="auto"/>
        </w:rPr>
        <w:t>开标一览表</w:t>
      </w:r>
    </w:p>
    <w:p>
      <w:pPr>
        <w:adjustRightInd w:val="0"/>
        <w:snapToGrid w:val="0"/>
        <w:spacing w:line="360" w:lineRule="auto"/>
        <w:rPr>
          <w:rFonts w:ascii="宋体"/>
          <w:snapToGrid w:val="0"/>
          <w:color w:val="auto"/>
          <w:kern w:val="0"/>
          <w:szCs w:val="21"/>
          <w:highlight w:val="auto"/>
        </w:rPr>
      </w:pPr>
      <w:r>
        <w:rPr>
          <w:rFonts w:ascii="宋体" w:hint="eastAsia"/>
          <w:snapToGrid w:val="0"/>
          <w:color w:val="auto"/>
          <w:kern w:val="0"/>
          <w:szCs w:val="21"/>
          <w:highlight w:val="auto"/>
        </w:rPr>
        <w:t>项目名称：</w:t>
      </w:r>
      <w:r>
        <w:rPr>
          <w:rFonts w:ascii="宋体"/>
          <w:snapToGrid w:val="0"/>
          <w:color w:val="auto"/>
          <w:kern w:val="0"/>
          <w:szCs w:val="21"/>
          <w:highlight w:val="auto"/>
        </w:rPr>
        <w:t xml:space="preserve">                    </w:t>
      </w:r>
      <w:r>
        <w:rPr>
          <w:rFonts w:ascii="宋体" w:hint="eastAsia"/>
          <w:snapToGrid w:val="0"/>
          <w:color w:val="auto"/>
          <w:kern w:val="0"/>
          <w:szCs w:val="21"/>
          <w:highlight w:val="auto"/>
        </w:rPr>
        <w:t>项目编号：</w:t>
      </w:r>
      <w:r>
        <w:rPr>
          <w:rFonts w:ascii="宋体"/>
          <w:snapToGrid w:val="0"/>
          <w:color w:val="auto"/>
          <w:kern w:val="0"/>
          <w:szCs w:val="21"/>
          <w:highlight w:val="auto"/>
        </w:rPr>
        <w:t xml:space="preserve">  </w:t>
      </w:r>
      <w:r>
        <w:rPr>
          <w:rFonts w:ascii="宋体" w:hint="eastAsia"/>
          <w:snapToGrid w:val="0"/>
          <w:color w:val="auto"/>
          <w:kern w:val="0"/>
          <w:szCs w:val="21"/>
          <w:highlight w:val="auto"/>
        </w:rPr>
        <w:t xml:space="preserve">   </w:t>
      </w:r>
      <w:r>
        <w:rPr>
          <w:rFonts w:ascii="宋体"/>
          <w:snapToGrid w:val="0"/>
          <w:color w:val="auto"/>
          <w:kern w:val="0"/>
          <w:szCs w:val="21"/>
          <w:highlight w:val="auto"/>
        </w:rPr>
        <w:t xml:space="preserve">   </w:t>
      </w:r>
      <w:r>
        <w:rPr>
          <w:rFonts w:ascii="宋体" w:hint="eastAsia"/>
          <w:snapToGrid w:val="0"/>
          <w:color w:val="auto"/>
          <w:kern w:val="0"/>
          <w:szCs w:val="21"/>
          <w:highlight w:val="auto"/>
        </w:rPr>
        <w:t xml:space="preserve">  </w:t>
      </w:r>
      <w:r>
        <w:rPr>
          <w:rFonts w:ascii="宋体"/>
          <w:snapToGrid w:val="0"/>
          <w:color w:val="auto"/>
          <w:kern w:val="0"/>
          <w:szCs w:val="21"/>
          <w:highlight w:val="auto"/>
        </w:rPr>
        <w:t xml:space="preserve">    </w:t>
      </w:r>
    </w:p>
    <w:tbl>
      <w:tblPr>
        <w:jc w:val="center"/>
        <w:tblW w:w="848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637"/>
        <w:gridCol w:w="1269"/>
        <w:gridCol w:w="648"/>
        <w:gridCol w:w="820"/>
        <w:gridCol w:w="1328"/>
        <w:gridCol w:w="1097"/>
        <w:gridCol w:w="923"/>
        <w:gridCol w:w="763"/>
      </w:tblGrid>
      <w:tr>
        <w:tc>
          <w:tcPr>
            <w:tcW w:w="1637"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cs="Times New Roman" w:hint="eastAsia"/>
                <w:snapToGrid w:val="0"/>
                <w:color w:val="auto"/>
                <w:kern w:val="0"/>
                <w:szCs w:val="21"/>
                <w:lang w:val="en-US" w:eastAsia="zh-CN"/>
                <w:highlight w:val="auto"/>
              </w:rPr>
              <w:t>采购</w:t>
            </w:r>
            <w:r>
              <w:rPr>
                <w:rFonts w:ascii="宋体" w:eastAsia="宋体" w:cs="Times New Roman" w:hint="eastAsia"/>
                <w:snapToGrid w:val="0"/>
                <w:color w:val="auto"/>
                <w:kern w:val="0"/>
                <w:szCs w:val="21"/>
                <w:highlight w:val="auto"/>
              </w:rPr>
              <w:t>内容</w:t>
            </w:r>
          </w:p>
        </w:tc>
        <w:tc>
          <w:tcPr>
            <w:tcW w:w="1269"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型号和规格</w:t>
            </w:r>
          </w:p>
        </w:tc>
        <w:tc>
          <w:tcPr>
            <w:tcW w:w="648"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数量</w:t>
            </w:r>
          </w:p>
        </w:tc>
        <w:tc>
          <w:tcPr>
            <w:tcW w:w="820"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单位</w:t>
            </w:r>
          </w:p>
        </w:tc>
        <w:tc>
          <w:tcPr>
            <w:tcW w:w="1328" w:type="dxa"/>
            <w:noWrap/>
            <w:vAlign w:val="center"/>
          </w:tcPr>
          <w:p>
            <w:pPr>
              <w:adjustRightInd w:val="0"/>
              <w:snapToGrid w:val="0"/>
              <w:spacing w:line="360" w:lineRule="auto"/>
              <w:jc w:val="center"/>
              <w:rPr>
                <w:rFonts w:ascii="宋体" w:eastAsia="宋体" w:cs="Times New Roman" w:hint="eastAsia"/>
                <w:snapToGrid w:val="0"/>
                <w:color w:val="auto"/>
                <w:kern w:val="0"/>
                <w:szCs w:val="21"/>
                <w:lang w:eastAsia="zh-CN"/>
                <w:highlight w:val="auto"/>
              </w:rPr>
            </w:pPr>
            <w:r>
              <w:rPr>
                <w:rFonts w:ascii="宋体" w:eastAsia="宋体" w:cs="Times New Roman" w:hint="eastAsia"/>
                <w:snapToGrid w:val="0"/>
                <w:color w:val="auto"/>
                <w:kern w:val="0"/>
                <w:szCs w:val="21"/>
                <w:lang w:eastAsia="zh-CN"/>
                <w:highlight w:val="auto"/>
              </w:rPr>
              <w:t>制造商名称和</w:t>
            </w:r>
            <w:r>
              <w:rPr>
                <w:rFonts w:ascii="宋体" w:eastAsia="宋体" w:cs="Times New Roman" w:hint="eastAsia"/>
                <w:snapToGrid w:val="0"/>
                <w:color w:val="auto"/>
                <w:kern w:val="0"/>
                <w:szCs w:val="21"/>
                <w:lang w:val="en-US" w:eastAsia="zh-CN"/>
                <w:highlight w:val="auto"/>
              </w:rPr>
              <w:t>产地</w:t>
            </w:r>
          </w:p>
        </w:tc>
        <w:tc>
          <w:tcPr>
            <w:tcW w:w="1097"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单价（元/台套）</w:t>
            </w:r>
          </w:p>
        </w:tc>
        <w:tc>
          <w:tcPr>
            <w:tcW w:w="923" w:type="dxa"/>
            <w:noWrap/>
            <w:vAlign w:val="center"/>
          </w:tcPr>
          <w:p>
            <w:pPr>
              <w:adjustRightInd w:val="0"/>
              <w:snapToGrid w:val="0"/>
              <w:spacing w:line="360" w:lineRule="auto"/>
              <w:jc w:val="center"/>
              <w:rPr>
                <w:rFonts w:ascii="宋体" w:eastAsia="宋体" w:cs="Times New Roman" w:hint="eastAsia"/>
                <w:snapToGrid w:val="0"/>
                <w:color w:val="auto"/>
                <w:kern w:val="0"/>
                <w:szCs w:val="21"/>
                <w:lang w:val="en-US" w:eastAsia="zh-CN"/>
                <w:highlight w:val="auto"/>
              </w:rPr>
            </w:pPr>
            <w:r>
              <w:rPr>
                <w:rFonts w:ascii="宋体" w:eastAsia="宋体" w:cs="Times New Roman" w:hint="eastAsia"/>
                <w:snapToGrid w:val="0"/>
                <w:color w:val="auto"/>
                <w:kern w:val="0"/>
                <w:szCs w:val="21"/>
                <w:lang w:val="en-US" w:eastAsia="zh-CN"/>
                <w:highlight w:val="auto"/>
              </w:rPr>
              <w:t>小计（元）</w:t>
            </w:r>
          </w:p>
        </w:tc>
        <w:tc>
          <w:tcPr>
            <w:tcW w:w="763" w:type="dxa"/>
            <w:noWrap/>
            <w:vAlign w:val="center"/>
          </w:tcPr>
          <w:p>
            <w:pPr>
              <w:adjustRightInd w:val="0"/>
              <w:snapToGrid w:val="0"/>
              <w:spacing w:line="360" w:lineRule="auto"/>
              <w:jc w:val="center"/>
              <w:rPr>
                <w:rFonts w:ascii="宋体" w:eastAsia="宋体" w:cs="Times New Roman" w:hint="eastAsia"/>
                <w:snapToGrid w:val="0"/>
                <w:color w:val="auto"/>
                <w:kern w:val="0"/>
                <w:szCs w:val="21"/>
                <w:highlight w:val="auto"/>
              </w:rPr>
            </w:pPr>
            <w:r>
              <w:rPr>
                <w:rFonts w:ascii="宋体" w:eastAsia="宋体" w:cs="Times New Roman" w:hint="eastAsia"/>
                <w:snapToGrid w:val="0"/>
                <w:color w:val="auto"/>
                <w:kern w:val="0"/>
                <w:szCs w:val="21"/>
                <w:highlight w:val="auto"/>
              </w:rPr>
              <w:t>备注</w:t>
            </w: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生物安全柜</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恒温恒湿培养箱</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台式冷冻离心机</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纯水/超纯水机</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val="en-US" w:eastAsia="zh-CN"/>
                <w:highlight w:val="auto"/>
              </w:rPr>
              <w:t>2</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1637" w:type="dxa"/>
            <w:noWrap/>
            <w:vAlign w:val="center"/>
          </w:tcPr>
          <w:p>
            <w:pPr>
              <w:spacing w:line="360" w:lineRule="auto"/>
              <w:jc w:val="center"/>
              <w:rPr>
                <w:rFonts w:ascii="宋体" w:eastAsia="宋体" w:cs="Times New Roman" w:hint="eastAsia"/>
                <w:snapToGrid w:val="0"/>
                <w:color w:val="auto"/>
                <w:kern w:val="0"/>
                <w:szCs w:val="21"/>
                <w:highlight w:val="auto"/>
              </w:rPr>
            </w:pPr>
            <w:r>
              <w:rPr>
                <w:rFonts w:ascii="宋体" w:hint="eastAsia"/>
                <w:color w:val="auto"/>
                <w:szCs w:val="21"/>
                <w:lang w:eastAsia="zh-CN"/>
                <w:highlight w:val="auto"/>
              </w:rPr>
              <w:t>紫外可见分光光度计</w:t>
            </w:r>
          </w:p>
        </w:tc>
        <w:tc>
          <w:tcPr>
            <w:tcW w:w="1269" w:type="dxa"/>
            <w:noWrap/>
            <w:vAlign w:val="center"/>
          </w:tcPr>
          <w:p>
            <w:pPr>
              <w:spacing w:line="360" w:lineRule="auto"/>
              <w:jc w:val="center"/>
              <w:rPr>
                <w:color w:val="auto"/>
                <w:highlight w:val="auto"/>
              </w:rPr>
            </w:pPr>
            <w:r>
              <w:rPr>
                <w:rFonts w:ascii="宋体" w:hint="eastAsia"/>
                <w:color w:val="auto"/>
                <w:szCs w:val="21"/>
                <w:lang w:val="en-US" w:eastAsia="zh-CN"/>
                <w:highlight w:val="auto"/>
              </w:rPr>
              <w:t xml:space="preserve"> </w:t>
            </w:r>
          </w:p>
        </w:tc>
        <w:tc>
          <w:tcPr>
            <w:tcW w:w="648" w:type="dxa"/>
            <w:noWrap/>
            <w:vAlign w:val="center"/>
          </w:tcPr>
          <w:p>
            <w:pPr>
              <w:spacing w:line="360" w:lineRule="auto"/>
              <w:jc w:val="center"/>
              <w:rPr>
                <w:color w:val="auto"/>
                <w:highlight w:val="auto"/>
              </w:rPr>
            </w:pPr>
            <w:r>
              <w:rPr>
                <w:rFonts w:ascii="宋体" w:hint="eastAsia"/>
                <w:color w:val="auto"/>
                <w:szCs w:val="21"/>
                <w:lang w:eastAsia="zh-CN"/>
                <w:highlight w:val="auto"/>
              </w:rPr>
              <w:t>1</w:t>
            </w:r>
          </w:p>
        </w:tc>
        <w:tc>
          <w:tcPr>
            <w:tcW w:w="820" w:type="dxa"/>
            <w:noWrap/>
            <w:vAlign w:val="center"/>
          </w:tcPr>
          <w:p>
            <w:pPr>
              <w:spacing w:line="360" w:lineRule="auto"/>
              <w:jc w:val="center"/>
              <w:rPr>
                <w:color w:val="auto"/>
                <w:highlight w:val="auto"/>
              </w:rPr>
            </w:pPr>
            <w:r>
              <w:rPr>
                <w:rFonts w:ascii="宋体" w:hint="eastAsia"/>
                <w:color w:val="auto"/>
                <w:szCs w:val="21"/>
                <w:lang w:eastAsia="zh-CN"/>
                <w:highlight w:val="auto"/>
              </w:rPr>
              <w:t>台套</w:t>
            </w:r>
          </w:p>
        </w:tc>
        <w:tc>
          <w:tcPr>
            <w:tcW w:w="1328" w:type="dxa"/>
            <w:noWrap/>
            <w:vAlign w:val="center"/>
          </w:tcPr>
          <w:p>
            <w:pPr>
              <w:spacing w:line="480" w:lineRule="auto"/>
              <w:rPr>
                <w:color w:val="auto"/>
                <w:highlight w:val="auto"/>
              </w:rPr>
            </w:pPr>
          </w:p>
        </w:tc>
        <w:tc>
          <w:tcPr>
            <w:tcW w:w="1097" w:type="dxa"/>
            <w:noWrap/>
            <w:vAlign w:val="center"/>
          </w:tcPr>
          <w:p>
            <w:pPr>
              <w:spacing w:line="480" w:lineRule="auto"/>
              <w:rPr>
                <w:color w:val="auto"/>
                <w:highlight w:val="auto"/>
              </w:rPr>
            </w:pPr>
          </w:p>
        </w:tc>
        <w:tc>
          <w:tcPr>
            <w:tcW w:w="923" w:type="dxa"/>
            <w:noWrap/>
            <w:vAlign w:val="center"/>
          </w:tcPr>
          <w:p>
            <w:pPr>
              <w:spacing w:line="480" w:lineRule="auto"/>
              <w:rPr>
                <w:color w:val="auto"/>
                <w:highlight w:val="auto"/>
              </w:rPr>
            </w:pPr>
          </w:p>
        </w:tc>
        <w:tc>
          <w:tcPr>
            <w:tcW w:w="763" w:type="dxa"/>
            <w:noWrap/>
            <w:vAlign w:val="center"/>
          </w:tcPr>
          <w:p>
            <w:pPr>
              <w:spacing w:line="480" w:lineRule="auto"/>
              <w:rPr>
                <w:color w:val="auto"/>
                <w:highlight w:val="auto"/>
              </w:rPr>
            </w:pPr>
          </w:p>
        </w:tc>
      </w:tr>
      <w:tr>
        <w:tc>
          <w:tcPr>
            <w:tcW w:w="3554" w:type="dxa"/>
            <w:gridSpan w:val="3"/>
            <w:noWrap/>
            <w:vAlign w:val="center"/>
          </w:tcPr>
          <w:p>
            <w:pPr>
              <w:spacing w:line="360" w:lineRule="auto"/>
              <w:jc w:val="center"/>
              <w:rPr>
                <w:rFonts w:ascii="宋体" w:eastAsia="宋体" w:hint="eastAsia"/>
                <w:color w:val="auto"/>
                <w:szCs w:val="21"/>
                <w:lang w:eastAsia="zh-CN"/>
                <w:highlight w:val="auto"/>
              </w:rPr>
            </w:pPr>
            <w:r>
              <w:rPr>
                <w:color w:val="auto"/>
                <w:highlight w:val="auto"/>
              </w:rPr>
              <w:t>投标总价</w:t>
            </w:r>
          </w:p>
        </w:tc>
        <w:tc>
          <w:tcPr>
            <w:tcW w:w="4931" w:type="dxa"/>
            <w:gridSpan w:val="5"/>
            <w:noWrap/>
            <w:vAlign w:val="center"/>
          </w:tcPr>
          <w:p>
            <w:pPr>
              <w:spacing w:line="360" w:lineRule="auto"/>
              <w:rPr>
                <w:color w:val="auto"/>
                <w:highlight w:val="auto"/>
              </w:rPr>
            </w:pPr>
            <w:r>
              <w:rPr>
                <w:color w:val="auto"/>
                <w:highlight w:val="auto"/>
              </w:rPr>
              <w:t>小写：</w:t>
            </w:r>
            <w:r>
              <w:rPr>
                <w:color w:val="auto"/>
                <w:u w:val="single"/>
                <w:highlight w:val="auto"/>
              </w:rPr>
              <w:t xml:space="preserve">                        </w:t>
            </w:r>
          </w:p>
          <w:p>
            <w:pPr>
              <w:spacing w:line="480" w:lineRule="auto"/>
              <w:rPr>
                <w:color w:val="auto"/>
                <w:highlight w:val="auto"/>
              </w:rPr>
            </w:pPr>
            <w:r>
              <w:rPr>
                <w:color w:val="auto"/>
                <w:highlight w:val="auto"/>
              </w:rPr>
              <w:t>大写：</w:t>
            </w:r>
            <w:r>
              <w:rPr>
                <w:color w:val="auto"/>
                <w:u w:val="single"/>
                <w:highlight w:val="auto"/>
              </w:rPr>
              <w:t xml:space="preserve">                        </w:t>
            </w:r>
          </w:p>
        </w:tc>
      </w:tr>
    </w:tbl>
    <w:p>
      <w:pPr>
        <w:adjustRightInd w:val="0"/>
        <w:snapToGrid w:val="0"/>
        <w:spacing w:line="360" w:lineRule="auto"/>
        <w:jc w:val="left"/>
        <w:rPr>
          <w:rFonts w:ascii="宋体"/>
          <w:snapToGrid w:val="0"/>
          <w:color w:val="auto"/>
          <w:kern w:val="0"/>
          <w:szCs w:val="21"/>
          <w:highlight w:val="auto"/>
        </w:rPr>
      </w:pPr>
    </w:p>
    <w:p>
      <w:pPr>
        <w:adjustRightInd w:val="0"/>
        <w:snapToGrid w:val="0"/>
        <w:spacing w:line="300" w:lineRule="auto"/>
        <w:ind w:left="0" w:firstLineChars="200" w:firstLine="420"/>
        <w:rPr>
          <w:rFonts w:ascii="Times New Roman" w:eastAsia="宋体" w:cs="Times New Roman" w:hAnsi="Times New Roman" w:hint="eastAsia"/>
          <w:color w:val="auto"/>
          <w:highlight w:val="auto"/>
        </w:rPr>
      </w:pPr>
      <w:r>
        <w:rPr>
          <w:rFonts w:ascii="Times New Roman" w:eastAsia="宋体" w:cs="Times New Roman" w:hAnsi="Times New Roman" w:hint="eastAsia"/>
          <w:color w:val="auto"/>
          <w:highlight w:val="auto"/>
        </w:rPr>
        <w:t>注：</w:t>
      </w:r>
      <w:r>
        <w:rPr>
          <w:rFonts w:ascii="Times New Roman" w:eastAsia="宋体" w:cs="Times New Roman" w:hAnsi="Times New Roman" w:hint="eastAsia"/>
          <w:color w:val="auto"/>
          <w:lang w:val="en-US" w:eastAsia="zh-CN"/>
          <w:highlight w:val="auto"/>
        </w:rPr>
        <w:t>1、</w:t>
      </w:r>
      <w:r>
        <w:rPr>
          <w:rFonts w:ascii="Times New Roman" w:eastAsia="宋体" w:cs="Times New Roman" w:hAnsi="Times New Roman" w:hint="eastAsia"/>
          <w:color w:val="auto"/>
          <w:highlight w:val="auto"/>
        </w:rPr>
        <w:t>“报价方式”以一次报清，完成本项目清单及技术规范所需的所有费用必须包含在投标总价中。</w:t>
      </w:r>
    </w:p>
    <w:p>
      <w:pPr>
        <w:numPr>
          <w:ilvl w:val="0"/>
          <w:numId w:val="9"/>
        </w:numPr>
        <w:adjustRightInd w:val="0"/>
        <w:snapToGrid w:val="0"/>
        <w:spacing w:line="300" w:lineRule="auto"/>
        <w:ind w:left="0" w:firstLineChars="200" w:firstLine="420"/>
        <w:rPr>
          <w:rFonts w:ascii="Times New Roman" w:eastAsia="宋体" w:cs="Times New Roman" w:hAnsi="Times New Roman"/>
          <w:color w:val="auto"/>
          <w:highlight w:val="auto"/>
        </w:rPr>
      </w:pPr>
      <w:r>
        <w:rPr>
          <w:rFonts w:ascii="Times New Roman" w:eastAsia="宋体" w:cs="Times New Roman" w:hAnsi="Times New Roman"/>
          <w:color w:val="auto"/>
          <w:highlight w:val="auto"/>
        </w:rPr>
        <w:t>开标一览表上任何超出采购文件的优惠内容均不计入评标。</w:t>
      </w:r>
    </w:p>
    <w:p>
      <w:pPr>
        <w:pStyle w:val="1"/>
        <w:numPr>
          <w:ilvl w:val="0"/>
          <w:numId w:val="0"/>
        </w:numPr>
        <w:rPr>
          <w:color w:val="auto"/>
          <w:highlight w:val="auto"/>
        </w:rPr>
      </w:pPr>
    </w:p>
    <w:p>
      <w:pPr>
        <w:adjustRightInd w:val="0"/>
        <w:snapToGrid w:val="0"/>
        <w:spacing w:line="360" w:lineRule="auto"/>
        <w:rPr>
          <w:rFonts w:ascii="宋体"/>
          <w:snapToGrid w:val="0"/>
          <w:color w:val="auto"/>
          <w:kern w:val="0"/>
          <w:szCs w:val="21"/>
          <w:highlight w:val="auto"/>
        </w:rPr>
      </w:pP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供应商名称：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p>
    <w:p>
      <w:pPr>
        <w:pStyle w:val="28"/>
        <w:adjustRightInd w:val="0"/>
        <w:snapToGrid w:val="0"/>
        <w:spacing w:line="360" w:lineRule="auto"/>
        <w:ind w:firstLineChars="1771" w:firstLine="3544"/>
        <w:rPr>
          <w:rFonts w:hint="eastAsia"/>
          <w:color w:val="auto"/>
          <w:szCs w:val="21"/>
          <w:highlight w:val="auto"/>
        </w:rPr>
        <w:sectPr>
          <w:pgSz w:w="11911" w:h="16838"/>
          <w:pgMar w:top="1502" w:right="1378" w:bottom="1780" w:left="1582" w:header="0" w:footer="1378" w:gutter="0"/>
          <w:docGrid w:linePitch="312" w:charSpace="0"/>
        </w:sectPr>
      </w:pPr>
      <w:r>
        <w:rPr>
          <w:color w:val="auto"/>
          <w:szCs w:val="21"/>
          <w:u w:val="single"/>
          <w:highlight w:val="auto"/>
        </w:rPr>
        <w:t xml:space="preserve">       </w:t>
      </w:r>
      <w:r>
        <w:rPr>
          <w:rFonts w:hint="eastAsia"/>
          <w:color w:val="auto"/>
          <w:szCs w:val="21"/>
          <w:highlight w:val="auto"/>
        </w:rPr>
        <w:t>年</w:t>
      </w:r>
      <w:r>
        <w:rPr>
          <w:color w:val="auto"/>
          <w:szCs w:val="21"/>
          <w:u w:val="single"/>
          <w:highlight w:val="auto"/>
        </w:rPr>
        <w:t xml:space="preserve">       </w:t>
      </w:r>
      <w:r>
        <w:rPr>
          <w:rFonts w:hint="eastAsia"/>
          <w:color w:val="auto"/>
          <w:szCs w:val="21"/>
          <w:highlight w:val="auto"/>
        </w:rPr>
        <w:t>月</w:t>
      </w:r>
      <w:r>
        <w:rPr>
          <w:color w:val="auto"/>
          <w:szCs w:val="21"/>
          <w:u w:val="single"/>
          <w:highlight w:val="auto"/>
        </w:rPr>
        <w:t xml:space="preserve">       </w:t>
      </w:r>
      <w:r>
        <w:rPr>
          <w:rFonts w:hint="eastAsia"/>
          <w:color w:val="auto"/>
          <w:szCs w:val="21"/>
          <w:highlight w:val="auto"/>
        </w:rPr>
        <w:t>日</w:t>
      </w:r>
    </w:p>
    <w:p>
      <w:pPr>
        <w:pStyle w:val="28"/>
        <w:adjustRightInd w:val="0"/>
        <w:snapToGrid w:val="0"/>
        <w:spacing w:line="360" w:lineRule="auto"/>
        <w:ind w:firstLineChars="1771" w:firstLine="3544"/>
        <w:rPr>
          <w:rFonts w:hint="eastAsia"/>
          <w:color w:val="auto"/>
          <w:szCs w:val="21"/>
          <w:highlight w:val="auto"/>
        </w:rPr>
      </w:pPr>
    </w:p>
    <w:p>
      <w:pPr>
        <w:widowControl/>
        <w:jc w:val="right"/>
        <w:rPr>
          <w:rFonts w:ascii="宋体"/>
          <w:iCs/>
          <w:color w:val="auto"/>
          <w:sz w:val="24"/>
          <w:highlight w:val="auto"/>
        </w:rPr>
      </w:pPr>
    </w:p>
    <w:p>
      <w:pPr>
        <w:pStyle w:val="2"/>
        <w:numPr>
          <w:ilvl w:val="0"/>
          <w:numId w:val="0"/>
        </w:numPr>
        <w:tabs>
          <w:tab w:val="clear" w:pos="425"/>
        </w:tabs>
        <w:adjustRightInd w:val="0"/>
        <w:snapToGrid w:val="0"/>
        <w:spacing w:beforeLines="50" w:before="120" w:after="0" w:line="360" w:lineRule="auto"/>
        <w:ind w:left="567"/>
        <w:rPr>
          <w:rFonts w:ascii="宋体" w:eastAsia="宋体" w:hint="eastAsia"/>
          <w:b w:val="0"/>
          <w:color w:val="auto"/>
          <w:sz w:val="24"/>
          <w:szCs w:val="24"/>
          <w:lang w:eastAsia="zh-CN"/>
          <w:highlight w:val="auto"/>
        </w:rPr>
      </w:pPr>
      <w:bookmarkStart w:id="149" w:name="_Toc32374"/>
      <w:bookmarkStart w:id="150" w:name="_Toc226969362"/>
      <w:bookmarkStart w:id="151" w:name="_Toc107822560"/>
      <w:bookmarkStart w:id="152" w:name="_Toc227057968"/>
      <w:bookmarkStart w:id="153" w:name="_Toc60757542"/>
      <w:bookmarkStart w:id="154" w:name="_Toc468296147"/>
      <w:bookmarkStart w:id="155" w:name="_Toc371002591"/>
      <w:bookmarkStart w:id="156" w:name="_Toc368993659"/>
      <w:bookmarkStart w:id="157" w:name="_Toc488655909"/>
      <w:r>
        <w:rPr>
          <w:rFonts w:ascii="宋体" w:eastAsia="宋体"/>
          <w:color w:val="auto"/>
          <w:sz w:val="24"/>
          <w:szCs w:val="24"/>
          <w:highlight w:val="auto"/>
        </w:rPr>
        <w:t>6.</w:t>
      </w:r>
      <w:r>
        <w:rPr>
          <w:rFonts w:ascii="宋体" w:eastAsia="宋体" w:hint="eastAsia"/>
          <w:color w:val="auto"/>
          <w:sz w:val="24"/>
          <w:szCs w:val="24"/>
          <w:lang w:val="en-US" w:eastAsia="zh-CN"/>
          <w:highlight w:val="auto"/>
        </w:rPr>
        <w:t>16-1</w:t>
      </w:r>
      <w:r>
        <w:rPr>
          <w:rFonts w:ascii="宋体" w:eastAsia="宋体"/>
          <w:color w:val="auto"/>
          <w:sz w:val="24"/>
          <w:szCs w:val="24"/>
          <w:highlight w:val="auto"/>
        </w:rPr>
        <w:t xml:space="preserve"> </w:t>
      </w:r>
      <w:r>
        <w:rPr>
          <w:rFonts w:ascii="宋体" w:eastAsia="宋体" w:hint="eastAsia"/>
          <w:color w:val="auto"/>
          <w:sz w:val="24"/>
          <w:szCs w:val="24"/>
          <w:highlight w:val="auto"/>
        </w:rPr>
        <w:t>报价明细表</w:t>
      </w:r>
      <w:bookmarkEnd w:id="149"/>
      <w:bookmarkEnd w:id="150"/>
      <w:bookmarkEnd w:id="151"/>
      <w:bookmarkEnd w:id="152"/>
      <w:bookmarkEnd w:id="153"/>
      <w:bookmarkEnd w:id="154"/>
      <w:bookmarkEnd w:id="155"/>
      <w:bookmarkEnd w:id="156"/>
      <w:r>
        <w:rPr>
          <w:rFonts w:ascii="宋体" w:eastAsia="宋体" w:hint="eastAsia"/>
          <w:color w:val="auto"/>
          <w:sz w:val="24"/>
          <w:szCs w:val="24"/>
          <w:lang w:eastAsia="zh-CN"/>
          <w:highlight w:val="auto"/>
        </w:rPr>
        <w:t>（</w:t>
      </w:r>
      <w:r>
        <w:rPr>
          <w:rFonts w:ascii="宋体" w:eastAsia="宋体" w:hint="eastAsia"/>
          <w:color w:val="auto"/>
          <w:sz w:val="24"/>
          <w:szCs w:val="24"/>
          <w:lang w:val="en-US" w:eastAsia="zh-CN"/>
          <w:highlight w:val="auto"/>
        </w:rPr>
        <w:t>一台套设备填一张报价明细表</w:t>
      </w:r>
      <w:r>
        <w:rPr>
          <w:rFonts w:ascii="宋体" w:eastAsia="宋体" w:hint="eastAsia"/>
          <w:color w:val="auto"/>
          <w:sz w:val="24"/>
          <w:szCs w:val="24"/>
          <w:lang w:eastAsia="zh-CN"/>
          <w:highlight w:val="auto"/>
        </w:rPr>
        <w:t>）</w:t>
      </w:r>
    </w:p>
    <w:p>
      <w:pPr>
        <w:jc w:val="both"/>
        <w:rPr>
          <w:rFonts w:ascii="宋体" w:eastAsia="宋体"/>
          <w:b/>
          <w:color w:val="auto"/>
          <w:sz w:val="24"/>
          <w:lang w:val="en-US" w:eastAsia="zh-CN"/>
          <w:highlight w:val="auto"/>
        </w:rPr>
      </w:pPr>
      <w:r>
        <w:rPr>
          <w:rFonts w:ascii="宋体" w:eastAsia="宋体" w:cs="Times New Roman" w:hint="eastAsia"/>
          <w:snapToGrid w:val="0"/>
          <w:color w:val="auto"/>
          <w:kern w:val="0"/>
          <w:szCs w:val="21"/>
          <w:lang w:val="en-US" w:eastAsia="zh-CN"/>
          <w:highlight w:val="auto"/>
        </w:rPr>
        <w:t>设备名称：</w:t>
      </w:r>
      <w:r>
        <w:rPr>
          <w:rFonts w:ascii="宋体" w:hint="eastAsia"/>
          <w:b/>
          <w:color w:val="auto"/>
          <w:sz w:val="24"/>
          <w:lang w:val="en-US" w:eastAsia="zh-CN"/>
          <w:highlight w:val="auto"/>
        </w:rPr>
        <w:t xml:space="preserve">                  </w:t>
      </w:r>
    </w:p>
    <w:tbl>
      <w:tblPr>
        <w:jc w:val="center"/>
        <w:tblW w:w="9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2"/>
        <w:gridCol w:w="1498"/>
        <w:gridCol w:w="961"/>
        <w:gridCol w:w="761"/>
        <w:gridCol w:w="1177"/>
        <w:gridCol w:w="970"/>
        <w:gridCol w:w="1119"/>
        <w:gridCol w:w="958"/>
        <w:gridCol w:w="911"/>
        <w:gridCol w:w="623"/>
      </w:tblGrid>
      <w:tr>
        <w:trPr>
          <w:trHeight w:val="77"/>
        </w:trPr>
        <w:tc>
          <w:tcPr>
            <w:tcW w:w="692" w:type="dxa"/>
            <w:shd w:val="clear" w:color="000000" w:fill="FFFFFF"/>
            <w:vAlign w:val="center"/>
          </w:tcPr>
          <w:p>
            <w:pPr>
              <w:spacing w:line="360" w:lineRule="auto"/>
              <w:rPr>
                <w:rFonts w:ascii="宋体" w:cs="宋体"/>
                <w:b/>
                <w:bCs/>
                <w:color w:val="auto"/>
                <w:kern w:val="0"/>
                <w:sz w:val="18"/>
                <w:szCs w:val="18"/>
                <w:highlight w:val="auto"/>
              </w:rPr>
            </w:pPr>
            <w:bookmarkEnd w:id="157"/>
            <w:r>
              <w:rPr>
                <w:rFonts w:ascii="宋体" w:cs="宋体" w:hint="eastAsia"/>
                <w:b/>
                <w:color w:val="auto"/>
                <w:spacing w:val="-6"/>
                <w:szCs w:val="21"/>
                <w:highlight w:val="auto"/>
              </w:rPr>
              <w:t>序号</w:t>
            </w:r>
          </w:p>
        </w:tc>
        <w:tc>
          <w:tcPr>
            <w:tcW w:w="1498" w:type="dxa"/>
            <w:shd w:val="clear" w:color="000000" w:fill="FFFFFF"/>
            <w:vAlign w:val="center"/>
          </w:tcPr>
          <w:p>
            <w:pPr>
              <w:spacing w:line="360" w:lineRule="auto"/>
              <w:rPr>
                <w:rFonts w:ascii="宋体" w:cs="宋体"/>
                <w:b/>
                <w:bCs/>
                <w:color w:val="auto"/>
                <w:kern w:val="0"/>
                <w:sz w:val="18"/>
                <w:szCs w:val="18"/>
                <w:highlight w:val="auto"/>
              </w:rPr>
            </w:pPr>
            <w:r>
              <w:rPr>
                <w:rFonts w:ascii="Times New Roman" w:hAnsi="Times New Roman"/>
                <w:color w:val="auto"/>
                <w:highlight w:val="auto"/>
              </w:rPr>
              <w:t>设备材料名称</w:t>
            </w:r>
          </w:p>
        </w:tc>
        <w:tc>
          <w:tcPr>
            <w:tcW w:w="961" w:type="dxa"/>
            <w:shd w:val="clear" w:color="000000" w:fill="FFFFFF"/>
            <w:vAlign w:val="center"/>
          </w:tcPr>
          <w:p>
            <w:pPr>
              <w:spacing w:line="360" w:lineRule="auto"/>
              <w:rPr>
                <w:rFonts w:ascii="宋体" w:eastAsia="宋体" w:cs="宋体"/>
                <w:b/>
                <w:bCs/>
                <w:color w:val="auto"/>
                <w:kern w:val="0"/>
                <w:sz w:val="18"/>
                <w:szCs w:val="18"/>
                <w:lang w:val="en-US" w:eastAsia="zh-CN"/>
                <w:highlight w:val="auto"/>
              </w:rPr>
            </w:pPr>
            <w:r>
              <w:rPr>
                <w:rFonts w:ascii="宋体" w:cs="宋体" w:hint="eastAsia"/>
                <w:b/>
                <w:color w:val="auto"/>
                <w:spacing w:val="-6"/>
                <w:szCs w:val="21"/>
                <w:highlight w:val="auto"/>
              </w:rPr>
              <w:t>数量</w:t>
            </w:r>
          </w:p>
        </w:tc>
        <w:tc>
          <w:tcPr>
            <w:tcW w:w="761"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单位</w:t>
            </w:r>
          </w:p>
        </w:tc>
        <w:tc>
          <w:tcPr>
            <w:tcW w:w="1177"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品牌型号</w:t>
            </w:r>
          </w:p>
        </w:tc>
        <w:tc>
          <w:tcPr>
            <w:tcW w:w="970"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配置</w:t>
            </w:r>
          </w:p>
        </w:tc>
        <w:tc>
          <w:tcPr>
            <w:tcW w:w="1119"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产地</w:t>
            </w:r>
          </w:p>
        </w:tc>
        <w:tc>
          <w:tcPr>
            <w:tcW w:w="958"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单价</w:t>
            </w:r>
          </w:p>
        </w:tc>
        <w:tc>
          <w:tcPr>
            <w:tcW w:w="911" w:type="dxa"/>
            <w:shd w:val="clear" w:color="000000" w:fill="FFFFFF"/>
            <w:vAlign w:val="center"/>
          </w:tcPr>
          <w:p>
            <w:pPr>
              <w:spacing w:line="360" w:lineRule="auto"/>
              <w:rPr>
                <w:rFonts w:ascii="宋体" w:eastAsia="宋体" w:cs="宋体" w:hint="eastAsia"/>
                <w:b/>
                <w:color w:val="auto"/>
                <w:spacing w:val="-6"/>
                <w:szCs w:val="21"/>
                <w:lang w:val="en-US" w:eastAsia="zh-CN"/>
                <w:highlight w:val="auto"/>
              </w:rPr>
            </w:pPr>
            <w:r>
              <w:rPr>
                <w:rFonts w:ascii="宋体" w:cs="宋体" w:hint="eastAsia"/>
                <w:b/>
                <w:color w:val="auto"/>
                <w:spacing w:val="-6"/>
                <w:szCs w:val="21"/>
                <w:lang w:val="en-US" w:eastAsia="zh-CN"/>
                <w:highlight w:val="auto"/>
              </w:rPr>
              <w:t>小计</w:t>
            </w:r>
          </w:p>
        </w:tc>
        <w:tc>
          <w:tcPr>
            <w:tcW w:w="623" w:type="dxa"/>
            <w:shd w:val="clear" w:color="000000" w:fill="FFFFFF"/>
            <w:vAlign w:val="center"/>
          </w:tcPr>
          <w:p>
            <w:pPr>
              <w:spacing w:line="360" w:lineRule="auto"/>
              <w:rPr>
                <w:rFonts w:ascii="宋体" w:cs="宋体"/>
                <w:b/>
                <w:bCs/>
                <w:color w:val="auto"/>
                <w:kern w:val="0"/>
                <w:sz w:val="18"/>
                <w:szCs w:val="18"/>
                <w:highlight w:val="auto"/>
              </w:rPr>
            </w:pPr>
            <w:r>
              <w:rPr>
                <w:rFonts w:ascii="宋体" w:cs="宋体" w:hint="eastAsia"/>
                <w:b/>
                <w:color w:val="auto"/>
                <w:spacing w:val="-6"/>
                <w:szCs w:val="21"/>
                <w:highlight w:val="auto"/>
              </w:rPr>
              <w:t>备注</w:t>
            </w: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1</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主机价格（主设备裸机）</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2</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主机外的辅助硬件</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3</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备品备件</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4</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耗材</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5</w:t>
            </w: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运费</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auto"/>
                <w:kern w:val="0"/>
                <w:sz w:val="18"/>
                <w:szCs w:val="18"/>
                <w:lang w:val="en-US" w:eastAsia="zh-CN"/>
                <w:highlight w:val="auto"/>
              </w:rPr>
            </w:pPr>
            <w:r>
              <w:rPr>
                <w:rFonts w:ascii="宋体" w:cs="宋体" w:hint="eastAsia"/>
                <w:color w:val="auto"/>
                <w:kern w:val="0"/>
                <w:sz w:val="18"/>
                <w:szCs w:val="18"/>
                <w:lang w:val="en-US" w:eastAsia="zh-CN"/>
                <w:highlight w:val="auto"/>
              </w:rPr>
              <w:t>6</w:t>
            </w:r>
          </w:p>
        </w:tc>
        <w:tc>
          <w:tcPr>
            <w:tcW w:w="1498" w:type="dxa"/>
            <w:shd w:val="clear" w:color="000000" w:fill="FFFFFF"/>
            <w:vAlign w:val="center"/>
          </w:tcPr>
          <w:p>
            <w:pPr>
              <w:widowControl/>
              <w:jc w:val="left"/>
              <w:rPr>
                <w:rFonts w:ascii="宋体" w:eastAsia="宋体" w:cs="宋体"/>
                <w:color w:val="auto"/>
                <w:kern w:val="0"/>
                <w:sz w:val="18"/>
                <w:szCs w:val="18"/>
                <w:lang w:val="en-US" w:eastAsia="zh-CN"/>
                <w:highlight w:val="auto"/>
              </w:rPr>
            </w:pPr>
            <w:r>
              <w:rPr>
                <w:rFonts w:ascii="宋体" w:cs="宋体" w:hint="eastAsia"/>
                <w:color w:val="auto"/>
                <w:kern w:val="0"/>
                <w:sz w:val="18"/>
                <w:szCs w:val="18"/>
                <w:lang w:val="en-US" w:eastAsia="zh-CN"/>
                <w:highlight w:val="auto"/>
              </w:rPr>
              <w:t>......</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r>
        <w:trPr>
          <w:trHeight w:val="827"/>
        </w:trPr>
        <w:tc>
          <w:tcPr>
            <w:tcW w:w="692" w:type="dxa"/>
            <w:shd w:val="clear" w:color="000000" w:fill="FFFFFF"/>
            <w:vAlign w:val="center"/>
          </w:tcPr>
          <w:p>
            <w:pPr>
              <w:widowControl/>
              <w:jc w:val="center"/>
              <w:rPr>
                <w:rFonts w:ascii="宋体" w:cs="宋体"/>
                <w:color w:val="auto"/>
                <w:kern w:val="0"/>
                <w:sz w:val="18"/>
                <w:szCs w:val="18"/>
                <w:highlight w:val="auto"/>
              </w:rPr>
            </w:pPr>
          </w:p>
        </w:tc>
        <w:tc>
          <w:tcPr>
            <w:tcW w:w="1498" w:type="dxa"/>
            <w:shd w:val="clear" w:color="000000" w:fill="FFFFFF"/>
            <w:vAlign w:val="center"/>
          </w:tcPr>
          <w:p>
            <w:pPr>
              <w:widowControl/>
              <w:jc w:val="left"/>
              <w:rPr>
                <w:rFonts w:ascii="宋体" w:cs="宋体"/>
                <w:color w:val="auto"/>
                <w:kern w:val="0"/>
                <w:sz w:val="18"/>
                <w:szCs w:val="18"/>
                <w:highlight w:val="auto"/>
              </w:rPr>
            </w:pPr>
            <w:r>
              <w:rPr>
                <w:rFonts w:ascii="宋体" w:cs="宋体" w:hint="eastAsia"/>
                <w:color w:val="auto"/>
                <w:kern w:val="0"/>
                <w:sz w:val="18"/>
                <w:szCs w:val="18"/>
                <w:highlight w:val="auto"/>
              </w:rPr>
              <w:t>合计</w:t>
            </w:r>
          </w:p>
        </w:tc>
        <w:tc>
          <w:tcPr>
            <w:tcW w:w="961" w:type="dxa"/>
            <w:shd w:val="clear" w:color="000000" w:fill="FFFFFF"/>
            <w:vAlign w:val="center"/>
          </w:tcPr>
          <w:p>
            <w:pPr>
              <w:widowControl/>
              <w:jc w:val="left"/>
              <w:rPr>
                <w:rFonts w:ascii="宋体" w:cs="宋体"/>
                <w:color w:val="auto"/>
                <w:kern w:val="0"/>
                <w:sz w:val="18"/>
                <w:szCs w:val="18"/>
                <w:highlight w:val="auto"/>
              </w:rPr>
            </w:pPr>
          </w:p>
        </w:tc>
        <w:tc>
          <w:tcPr>
            <w:tcW w:w="761" w:type="dxa"/>
            <w:shd w:val="clear" w:color="000000" w:fill="FFFFFF"/>
            <w:vAlign w:val="center"/>
          </w:tcPr>
          <w:p>
            <w:pPr>
              <w:widowControl/>
              <w:jc w:val="center"/>
              <w:rPr>
                <w:rFonts w:ascii="宋体" w:cs="宋体"/>
                <w:color w:val="auto"/>
                <w:kern w:val="0"/>
                <w:sz w:val="18"/>
                <w:szCs w:val="18"/>
                <w:highlight w:val="auto"/>
              </w:rPr>
            </w:pPr>
          </w:p>
        </w:tc>
        <w:tc>
          <w:tcPr>
            <w:tcW w:w="1177" w:type="dxa"/>
            <w:shd w:val="clear" w:color="000000" w:fill="FFFFFF"/>
            <w:vAlign w:val="center"/>
          </w:tcPr>
          <w:p>
            <w:pPr>
              <w:widowControl/>
              <w:jc w:val="center"/>
              <w:rPr>
                <w:rFonts w:ascii="宋体" w:cs="宋体"/>
                <w:color w:val="auto"/>
                <w:kern w:val="0"/>
                <w:sz w:val="18"/>
                <w:szCs w:val="18"/>
                <w:highlight w:val="auto"/>
              </w:rPr>
            </w:pPr>
          </w:p>
        </w:tc>
        <w:tc>
          <w:tcPr>
            <w:tcW w:w="970" w:type="dxa"/>
            <w:shd w:val="clear" w:color="000000" w:fill="FFFFFF"/>
            <w:vAlign w:val="center"/>
          </w:tcPr>
          <w:p>
            <w:pPr>
              <w:widowControl/>
              <w:jc w:val="right"/>
              <w:rPr>
                <w:rFonts w:ascii="宋体" w:cs="宋体"/>
                <w:color w:val="auto"/>
                <w:kern w:val="0"/>
                <w:sz w:val="18"/>
                <w:szCs w:val="18"/>
                <w:highlight w:val="auto"/>
              </w:rPr>
            </w:pPr>
          </w:p>
        </w:tc>
        <w:tc>
          <w:tcPr>
            <w:tcW w:w="1119" w:type="dxa"/>
            <w:shd w:val="clear" w:color="000000" w:fill="FFFFFF"/>
            <w:vAlign w:val="center"/>
          </w:tcPr>
          <w:p>
            <w:pPr>
              <w:widowControl/>
              <w:jc w:val="right"/>
              <w:rPr>
                <w:rFonts w:ascii="宋体" w:cs="宋体"/>
                <w:color w:val="auto"/>
                <w:kern w:val="0"/>
                <w:sz w:val="18"/>
                <w:szCs w:val="18"/>
                <w:highlight w:val="auto"/>
              </w:rPr>
            </w:pPr>
          </w:p>
        </w:tc>
        <w:tc>
          <w:tcPr>
            <w:tcW w:w="958" w:type="dxa"/>
            <w:shd w:val="clear" w:color="000000" w:fill="FFFFFF"/>
            <w:vAlign w:val="center"/>
          </w:tcPr>
          <w:p>
            <w:pPr>
              <w:widowControl/>
              <w:jc w:val="right"/>
              <w:rPr>
                <w:rFonts w:ascii="宋体" w:cs="宋体"/>
                <w:color w:val="auto"/>
                <w:kern w:val="0"/>
                <w:sz w:val="18"/>
                <w:szCs w:val="18"/>
                <w:highlight w:val="auto"/>
              </w:rPr>
            </w:pPr>
          </w:p>
        </w:tc>
        <w:tc>
          <w:tcPr>
            <w:tcW w:w="911" w:type="dxa"/>
            <w:shd w:val="clear" w:color="000000" w:fill="FFFFFF"/>
            <w:vAlign w:val="center"/>
          </w:tcPr>
          <w:p>
            <w:pPr>
              <w:widowControl/>
              <w:jc w:val="right"/>
              <w:rPr>
                <w:rFonts w:ascii="宋体" w:cs="宋体"/>
                <w:color w:val="auto"/>
                <w:kern w:val="0"/>
                <w:sz w:val="18"/>
                <w:szCs w:val="18"/>
                <w:highlight w:val="auto"/>
              </w:rPr>
            </w:pPr>
          </w:p>
        </w:tc>
        <w:tc>
          <w:tcPr>
            <w:tcW w:w="623" w:type="dxa"/>
            <w:shd w:val="clear" w:color="000000" w:fill="FFFFFF"/>
            <w:vAlign w:val="center"/>
          </w:tcPr>
          <w:p>
            <w:pPr>
              <w:widowControl/>
              <w:jc w:val="right"/>
              <w:rPr>
                <w:rFonts w:ascii="宋体" w:cs="宋体"/>
                <w:color w:val="auto"/>
                <w:kern w:val="0"/>
                <w:sz w:val="18"/>
                <w:szCs w:val="18"/>
                <w:highlight w:val="auto"/>
              </w:rPr>
            </w:pPr>
          </w:p>
        </w:tc>
      </w:tr>
    </w:tbl>
    <w:p>
      <w:pPr>
        <w:adjustRightInd w:val="0"/>
        <w:snapToGrid w:val="0"/>
        <w:spacing w:line="360" w:lineRule="auto"/>
        <w:ind w:firstLineChars="200" w:firstLine="420"/>
        <w:jc w:val="right"/>
        <w:rPr>
          <w:rFonts w:ascii="宋体"/>
          <w:color w:val="auto"/>
          <w:szCs w:val="21"/>
          <w:highlight w:val="auto"/>
        </w:rPr>
      </w:pPr>
    </w:p>
    <w:p>
      <w:pPr>
        <w:adjustRightInd w:val="0"/>
        <w:snapToGrid w:val="0"/>
        <w:spacing w:line="360" w:lineRule="auto"/>
        <w:ind w:firstLineChars="200" w:firstLine="420"/>
        <w:rPr>
          <w:rFonts w:ascii="宋体" w:eastAsia="宋体" w:cs="Times New Roman" w:hint="eastAsia"/>
          <w:color w:val="auto"/>
          <w:szCs w:val="21"/>
          <w:highlight w:val="auto"/>
        </w:rPr>
      </w:pPr>
      <w:r>
        <w:rPr>
          <w:rFonts w:ascii="宋体" w:hint="eastAsia"/>
          <w:color w:val="auto"/>
          <w:szCs w:val="21"/>
          <w:highlight w:val="auto"/>
        </w:rPr>
        <w:t>注：</w:t>
      </w:r>
      <w:r>
        <w:rPr>
          <w:rFonts w:ascii="宋体" w:hint="eastAsia"/>
          <w:color w:val="auto"/>
          <w:szCs w:val="21"/>
          <w:lang w:val="en-US" w:eastAsia="zh-CN"/>
          <w:highlight w:val="auto"/>
        </w:rPr>
        <w:t>1.</w:t>
      </w:r>
      <w:r>
        <w:rPr>
          <w:rFonts w:ascii="宋体" w:hint="eastAsia"/>
          <w:color w:val="auto"/>
          <w:szCs w:val="21"/>
          <w:highlight w:val="auto"/>
        </w:rPr>
        <w:t>各</w:t>
      </w:r>
      <w:r>
        <w:rPr>
          <w:rFonts w:ascii="宋体" w:eastAsia="宋体" w:cs="Times New Roman" w:hint="eastAsia"/>
          <w:color w:val="auto"/>
          <w:szCs w:val="21"/>
          <w:highlight w:val="auto"/>
        </w:rPr>
        <w:t>供应商应根据报价内容对报价明细表进行充分分析报价，并提供相应的报价分析表，相应的报价表格应符合规范规定格式及填写规定。</w:t>
      </w:r>
    </w:p>
    <w:p>
      <w:pPr>
        <w:adjustRightInd w:val="0"/>
        <w:snapToGrid w:val="0"/>
        <w:spacing w:line="360" w:lineRule="auto"/>
        <w:ind w:firstLineChars="200" w:firstLine="420"/>
        <w:rPr>
          <w:rFonts w:ascii="宋体" w:eastAsia="宋体" w:cs="Times New Roman" w:hint="eastAsia"/>
          <w:color w:val="auto"/>
          <w:szCs w:val="21"/>
          <w:lang w:val="en-US" w:eastAsia="zh-CN"/>
          <w:highlight w:val="auto"/>
        </w:rPr>
      </w:pPr>
      <w:r>
        <w:rPr>
          <w:rFonts w:ascii="宋体" w:eastAsia="宋体" w:cs="Times New Roman" w:hint="eastAsia"/>
          <w:color w:val="auto"/>
          <w:szCs w:val="21"/>
          <w:lang w:val="en-US" w:eastAsia="zh-CN"/>
          <w:highlight w:val="auto"/>
        </w:rPr>
        <w:t>2.上表合计金额需与开标一览表中对应设备的小计金额一致。</w:t>
      </w:r>
    </w:p>
    <w:p>
      <w:pPr>
        <w:adjustRightInd w:val="0"/>
        <w:snapToGrid w:val="0"/>
        <w:spacing w:line="360" w:lineRule="auto"/>
        <w:ind w:firstLineChars="200" w:firstLine="420"/>
        <w:rPr>
          <w:rFonts w:ascii="宋体" w:eastAsia="宋体" w:cs="Times New Roman" w:hint="eastAsia"/>
          <w:color w:val="auto"/>
          <w:szCs w:val="21"/>
          <w:highlight w:val="auto"/>
        </w:rPr>
      </w:pPr>
      <w:r>
        <w:rPr>
          <w:rFonts w:ascii="宋体" w:eastAsia="宋体" w:cs="Times New Roman" w:hint="eastAsia"/>
          <w:color w:val="auto"/>
          <w:szCs w:val="21"/>
          <w:lang w:val="en-US" w:eastAsia="zh-CN"/>
          <w:highlight w:val="auto"/>
        </w:rPr>
        <w:t>3.投标报价</w:t>
      </w:r>
      <w:r>
        <w:rPr>
          <w:rFonts w:ascii="宋体" w:eastAsia="宋体" w:cs="Times New Roman" w:hint="eastAsia"/>
          <w:color w:val="auto"/>
          <w:szCs w:val="21"/>
          <w:highlight w:val="auto"/>
        </w:rPr>
        <w:t>应包含产品的</w:t>
      </w:r>
      <w:r>
        <w:rPr>
          <w:rFonts w:ascii="宋体" w:eastAsia="宋体" w:cs="Times New Roman" w:hint="eastAsia"/>
          <w:color w:val="auto"/>
          <w:szCs w:val="21"/>
          <w:lang w:eastAsia="zh-CN"/>
          <w:highlight w:val="auto"/>
        </w:rPr>
        <w:t>制造、材料费（主材及辅材）、运输、安装、验收、检测、保修（保修期内的售后服务）、税收、所有手续费等直至验收合格交付采购人使用的所有相关费用</w:t>
      </w:r>
      <w:r>
        <w:rPr>
          <w:rFonts w:ascii="宋体" w:eastAsia="宋体" w:cs="Times New Roman" w:hint="eastAsia"/>
          <w:color w:val="auto"/>
          <w:szCs w:val="21"/>
          <w:highlight w:val="auto"/>
        </w:rPr>
        <w:t>。</w:t>
      </w:r>
    </w:p>
    <w:p>
      <w:pPr>
        <w:adjustRightInd w:val="0"/>
        <w:snapToGrid w:val="0"/>
        <w:spacing w:line="360" w:lineRule="auto"/>
        <w:ind w:firstLineChars="200" w:firstLine="420"/>
        <w:rPr>
          <w:rFonts w:ascii="宋体" w:eastAsia="宋体" w:cs="Times New Roman" w:hint="eastAsia"/>
          <w:color w:val="auto"/>
          <w:szCs w:val="21"/>
          <w:lang w:val="en-US" w:eastAsia="zh-CN"/>
          <w:highlight w:val="auto"/>
        </w:rPr>
      </w:pPr>
      <w:r>
        <w:rPr>
          <w:rFonts w:ascii="宋体" w:eastAsia="宋体" w:cs="Times New Roman" w:hint="eastAsia"/>
          <w:color w:val="auto"/>
          <w:szCs w:val="21"/>
          <w:lang w:val="en-US" w:eastAsia="zh-CN"/>
          <w:highlight w:val="auto"/>
        </w:rPr>
        <w:t>4.</w:t>
      </w:r>
      <w:r>
        <w:rPr>
          <w:rFonts w:ascii="宋体" w:eastAsia="宋体" w:cs="Times New Roman" w:hint="eastAsia"/>
          <w:color w:val="auto"/>
          <w:szCs w:val="21"/>
          <w:highlight w:val="auto"/>
        </w:rPr>
        <w:t>表格可扩展</w:t>
      </w:r>
      <w:r>
        <w:rPr>
          <w:rFonts w:ascii="宋体" w:eastAsia="宋体" w:cs="Times New Roman" w:hint="eastAsia"/>
          <w:color w:val="auto"/>
          <w:szCs w:val="21"/>
          <w:lang w:eastAsia="zh-CN"/>
          <w:highlight w:val="auto"/>
        </w:rPr>
        <w:t>。</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供应商名称：</w:t>
      </w:r>
      <w:r>
        <w:rPr>
          <w:rFonts w:ascii="宋体"/>
          <w:color w:val="auto"/>
          <w:szCs w:val="21"/>
          <w:u w:val="single"/>
          <w:highlight w:val="auto"/>
        </w:rPr>
        <w:t xml:space="preserve">                         </w:t>
      </w:r>
      <w:r>
        <w:rPr>
          <w:rFonts w:ascii="宋体" w:hint="eastAsia"/>
          <w:color w:val="auto"/>
          <w:szCs w:val="21"/>
          <w:highlight w:val="auto"/>
        </w:rPr>
        <w:t>（盖单位章）</w:t>
      </w:r>
    </w:p>
    <w:p>
      <w:pPr>
        <w:adjustRightInd w:val="0"/>
        <w:snapToGrid w:val="0"/>
        <w:spacing w:line="360" w:lineRule="auto"/>
        <w:ind w:firstLineChars="200" w:firstLine="420"/>
        <w:jc w:val="right"/>
        <w:rPr>
          <w:rFonts w:ascii="宋体"/>
          <w:color w:val="auto"/>
          <w:szCs w:val="21"/>
          <w:highlight w:val="auto"/>
        </w:rPr>
      </w:pPr>
      <w:r>
        <w:rPr>
          <w:rFonts w:ascii="宋体" w:hint="eastAsia"/>
          <w:color w:val="auto"/>
          <w:szCs w:val="21"/>
          <w:highlight w:val="auto"/>
        </w:rPr>
        <w:t>法定代表人或其委托代理人：</w:t>
      </w:r>
      <w:r>
        <w:rPr>
          <w:rFonts w:ascii="宋体"/>
          <w:color w:val="auto"/>
          <w:szCs w:val="21"/>
          <w:u w:val="single"/>
          <w:highlight w:val="auto"/>
        </w:rPr>
        <w:t xml:space="preserve">               </w:t>
      </w:r>
      <w:r>
        <w:rPr>
          <w:rFonts w:ascii="宋体" w:hint="eastAsia"/>
          <w:color w:val="auto"/>
          <w:szCs w:val="21"/>
          <w:highlight w:val="auto"/>
        </w:rPr>
        <w:t>（签字或盖章）</w:t>
      </w:r>
    </w:p>
    <w:p>
      <w:pPr>
        <w:adjustRightInd w:val="0"/>
        <w:snapToGrid w:val="0"/>
        <w:spacing w:line="360" w:lineRule="auto"/>
        <w:ind w:firstLineChars="1650" w:firstLine="3465"/>
        <w:rPr>
          <w:rFonts w:hint="eastAsia"/>
          <w:color w:val="auto"/>
          <w:szCs w:val="21"/>
          <w:highlight w:val="auto"/>
        </w:rPr>
        <w:sectPr>
          <w:pgSz w:w="11911" w:h="16838"/>
          <w:pgMar w:top="1502" w:right="1378" w:bottom="1780" w:left="1582" w:header="0" w:footer="1378" w:gutter="0"/>
          <w:docGrid w:linePitch="312" w:charSpace="0"/>
        </w:sectPr>
      </w:pPr>
      <w:r>
        <w:rPr>
          <w:color w:val="auto"/>
          <w:szCs w:val="21"/>
          <w:u w:val="single"/>
          <w:highlight w:val="auto"/>
        </w:rPr>
        <w:t xml:space="preserve">       </w:t>
      </w:r>
      <w:r>
        <w:rPr>
          <w:rFonts w:hint="eastAsia"/>
          <w:color w:val="auto"/>
          <w:szCs w:val="21"/>
          <w:highlight w:val="auto"/>
        </w:rPr>
        <w:t>年</w:t>
      </w:r>
      <w:r>
        <w:rPr>
          <w:color w:val="auto"/>
          <w:szCs w:val="21"/>
          <w:u w:val="single"/>
          <w:highlight w:val="auto"/>
        </w:rPr>
        <w:t xml:space="preserve">       </w:t>
      </w:r>
      <w:r>
        <w:rPr>
          <w:rFonts w:hint="eastAsia"/>
          <w:color w:val="auto"/>
          <w:szCs w:val="21"/>
          <w:highlight w:val="auto"/>
        </w:rPr>
        <w:t>月</w:t>
      </w:r>
      <w:r>
        <w:rPr>
          <w:color w:val="auto"/>
          <w:szCs w:val="21"/>
          <w:u w:val="single"/>
          <w:highlight w:val="auto"/>
        </w:rPr>
        <w:t xml:space="preserve">       </w:t>
      </w:r>
      <w:r>
        <w:rPr>
          <w:rFonts w:hint="eastAsia"/>
          <w:color w:val="auto"/>
          <w:szCs w:val="21"/>
          <w:highlight w:val="auto"/>
        </w:rPr>
        <w:t>日</w:t>
      </w:r>
    </w:p>
    <w:p>
      <w:pPr>
        <w:rPr>
          <w:rFonts w:ascii="宋体"/>
          <w:b/>
          <w:color w:val="auto"/>
          <w:szCs w:val="21"/>
          <w:highlight w:val="auto"/>
        </w:rPr>
      </w:pPr>
      <w:bookmarkStart w:id="158" w:name="_Toc371002612"/>
      <w:bookmarkStart w:id="159" w:name="_Toc226969370"/>
      <w:bookmarkStart w:id="160" w:name="_Toc368993680"/>
      <w:bookmarkStart w:id="161" w:name="_Toc227057976"/>
      <w:bookmarkEnd w:id="138"/>
      <w:r>
        <w:rPr>
          <w:rFonts w:ascii="宋体"/>
          <w:color w:val="auto"/>
          <w:sz w:val="24"/>
          <w:highlight w:val="auto"/>
        </w:rPr>
        <w:t>6.</w:t>
      </w:r>
      <w:bookmarkEnd w:id="158"/>
      <w:bookmarkEnd w:id="159"/>
      <w:bookmarkEnd w:id="160"/>
      <w:bookmarkEnd w:id="161"/>
      <w:r>
        <w:rPr>
          <w:rFonts w:ascii="宋体" w:hint="eastAsia"/>
          <w:color w:val="auto"/>
          <w:sz w:val="24"/>
          <w:lang w:val="en-US" w:eastAsia="zh-CN"/>
          <w:highlight w:val="auto"/>
        </w:rPr>
        <w:t>17</w:t>
      </w:r>
      <w:r>
        <w:rPr>
          <w:rFonts w:ascii="宋体" w:hint="eastAsia"/>
          <w:b/>
          <w:color w:val="auto"/>
          <w:szCs w:val="21"/>
          <w:highlight w:val="auto"/>
        </w:rPr>
        <w:t>中标服务费支付承诺书</w:t>
      </w:r>
    </w:p>
    <w:p>
      <w:pPr>
        <w:rPr>
          <w:color w:val="auto"/>
          <w:highlight w:val="auto"/>
        </w:rPr>
      </w:pPr>
    </w:p>
    <w:p>
      <w:pPr>
        <w:rPr>
          <w:color w:val="auto"/>
          <w:szCs w:val="21"/>
          <w:highlight w:val="auto"/>
        </w:rPr>
      </w:pPr>
    </w:p>
    <w:p>
      <w:pPr>
        <w:rPr>
          <w:color w:val="auto"/>
          <w:szCs w:val="21"/>
          <w:highlight w:val="auto"/>
        </w:rPr>
      </w:pPr>
    </w:p>
    <w:p>
      <w:pPr>
        <w:jc w:val="center"/>
        <w:rPr>
          <w:b/>
          <w:color w:val="auto"/>
          <w:szCs w:val="21"/>
          <w:highlight w:val="auto"/>
        </w:rPr>
      </w:pPr>
      <w:r>
        <w:rPr>
          <w:rFonts w:hint="eastAsia"/>
          <w:b/>
          <w:color w:val="auto"/>
          <w:szCs w:val="21"/>
          <w:highlight w:val="auto"/>
        </w:rPr>
        <w:t>中标服务费支付承诺书</w:t>
      </w:r>
    </w:p>
    <w:p>
      <w:pPr>
        <w:spacing w:line="600" w:lineRule="auto"/>
        <w:jc w:val="center"/>
        <w:rPr>
          <w:b/>
          <w:color w:val="auto"/>
          <w:szCs w:val="21"/>
          <w:highlight w:val="auto"/>
        </w:rPr>
      </w:pPr>
    </w:p>
    <w:p>
      <w:pPr>
        <w:pStyle w:val="2"/>
        <w:numPr>
          <w:ilvl w:val="0"/>
          <w:numId w:val="0"/>
        </w:numPr>
        <w:tabs>
          <w:tab w:val="clear" w:pos="425"/>
        </w:tabs>
        <w:spacing w:line="360" w:lineRule="auto"/>
        <w:rPr>
          <w:rFonts w:ascii="宋体" w:eastAsia="宋体"/>
          <w:b w:val="0"/>
          <w:color w:val="auto"/>
          <w:sz w:val="21"/>
          <w:szCs w:val="21"/>
          <w:u w:val="single"/>
          <w:highlight w:val="auto"/>
        </w:rPr>
      </w:pPr>
      <w:bookmarkStart w:id="162" w:name="_Toc80791182"/>
      <w:bookmarkStart w:id="163" w:name="_Toc5049"/>
      <w:bookmarkStart w:id="164" w:name="_Toc60757557"/>
      <w:bookmarkStart w:id="165" w:name="_Toc37770057"/>
      <w:r>
        <w:rPr>
          <w:rFonts w:ascii="宋体" w:eastAsia="宋体" w:hint="eastAsia"/>
          <w:b w:val="0"/>
          <w:color w:val="auto"/>
          <w:sz w:val="21"/>
          <w:szCs w:val="21"/>
          <w:u w:val="single"/>
          <w:highlight w:val="auto"/>
        </w:rPr>
        <w:t>大地工程咨询有限公司：</w:t>
      </w:r>
      <w:bookmarkEnd w:id="162"/>
      <w:bookmarkEnd w:id="163"/>
      <w:bookmarkEnd w:id="164"/>
      <w:bookmarkEnd w:id="165"/>
    </w:p>
    <w:p>
      <w:pPr>
        <w:pStyle w:val="2"/>
        <w:numPr>
          <w:ilvl w:val="0"/>
          <w:numId w:val="0"/>
        </w:numPr>
        <w:tabs>
          <w:tab w:val="clear" w:pos="425"/>
        </w:tabs>
        <w:spacing w:line="360" w:lineRule="auto"/>
        <w:ind w:left="0" w:firstLineChars="100" w:firstLine="210"/>
        <w:rPr>
          <w:rFonts w:ascii="宋体" w:eastAsia="宋体"/>
          <w:b w:val="0"/>
          <w:color w:val="auto"/>
          <w:sz w:val="21"/>
          <w:szCs w:val="21"/>
          <w:highlight w:val="auto"/>
        </w:rPr>
      </w:pPr>
      <w:bookmarkStart w:id="166" w:name="_Toc37770058"/>
      <w:bookmarkStart w:id="167" w:name="_Toc5875"/>
      <w:bookmarkStart w:id="168" w:name="_Toc60757558"/>
      <w:bookmarkStart w:id="169" w:name="_Toc80791183"/>
      <w:r>
        <w:rPr>
          <w:rFonts w:ascii="宋体" w:eastAsia="宋体" w:hint="eastAsia"/>
          <w:b w:val="0"/>
          <w:color w:val="auto"/>
          <w:sz w:val="21"/>
          <w:szCs w:val="21"/>
          <w:highlight w:val="auto"/>
        </w:rPr>
        <w:t>本单位在此承诺：如在本项目中标，在领取中标通知书之后5个工作日内，向贵公司按采购文件约定支付中标服务费。</w:t>
      </w:r>
      <w:bookmarkEnd w:id="166"/>
      <w:r>
        <w:rPr>
          <w:rFonts w:ascii="宋体" w:eastAsia="宋体" w:hint="eastAsia"/>
          <w:b w:val="0"/>
          <w:color w:val="auto"/>
          <w:sz w:val="21"/>
          <w:szCs w:val="21"/>
          <w:highlight w:val="auto"/>
        </w:rPr>
        <w:t>如逾期支付代理服务费，须承担代理服务费每日百分之三的违约金，逾期十日未支付的，采购代理机构有权向嘉兴仲裁委员会对中标供应商提起仲裁，仲裁费用（包括仲裁受理费和仲裁处理费）均由我单位承担。</w:t>
      </w:r>
      <w:bookmarkEnd w:id="167"/>
      <w:bookmarkEnd w:id="168"/>
      <w:bookmarkEnd w:id="169"/>
    </w:p>
    <w:p>
      <w:pPr>
        <w:rPr>
          <w:rFonts w:ascii="宋体"/>
          <w:color w:val="auto"/>
          <w:szCs w:val="21"/>
          <w:highlight w:val="auto"/>
        </w:rPr>
      </w:pPr>
    </w:p>
    <w:p>
      <w:pPr>
        <w:rPr>
          <w:rFonts w:ascii="宋体"/>
          <w:color w:val="auto"/>
          <w:szCs w:val="21"/>
          <w:highlight w:val="auto"/>
        </w:rPr>
      </w:pPr>
    </w:p>
    <w:p>
      <w:pPr>
        <w:rPr>
          <w:rFonts w:ascii="宋体"/>
          <w:color w:val="auto"/>
          <w:szCs w:val="21"/>
          <w:highlight w:val="auto"/>
        </w:rPr>
      </w:pPr>
    </w:p>
    <w:p>
      <w:pPr>
        <w:snapToGrid w:val="0"/>
        <w:spacing w:line="300" w:lineRule="auto"/>
        <w:jc w:val="right"/>
        <w:rPr>
          <w:rFonts w:ascii="宋体"/>
          <w:color w:val="auto"/>
          <w:spacing w:val="20"/>
          <w:szCs w:val="21"/>
          <w:u w:val="single"/>
          <w:highlight w:val="auto"/>
        </w:rPr>
      </w:pPr>
      <w:r>
        <w:rPr>
          <w:rFonts w:ascii="宋体" w:hint="eastAsia"/>
          <w:color w:val="auto"/>
          <w:szCs w:val="21"/>
          <w:lang w:val="en-US" w:eastAsia="zh-CN"/>
          <w:highlight w:val="auto"/>
        </w:rPr>
        <w:t>投标人</w:t>
      </w:r>
      <w:r>
        <w:rPr>
          <w:rFonts w:ascii="宋体" w:hint="eastAsia"/>
          <w:color w:val="auto"/>
          <w:szCs w:val="21"/>
          <w:highlight w:val="auto"/>
        </w:rPr>
        <w:t>全称（盖单位公章）：</w:t>
      </w:r>
    </w:p>
    <w:p>
      <w:pPr>
        <w:snapToGrid w:val="0"/>
        <w:spacing w:line="300" w:lineRule="auto"/>
        <w:jc w:val="right"/>
        <w:rPr>
          <w:rFonts w:ascii="宋体"/>
          <w:color w:val="auto"/>
          <w:szCs w:val="21"/>
          <w:highlight w:val="auto"/>
        </w:rPr>
      </w:pPr>
    </w:p>
    <w:p>
      <w:pPr>
        <w:snapToGrid w:val="0"/>
        <w:spacing w:line="300" w:lineRule="auto"/>
        <w:jc w:val="right"/>
        <w:rPr>
          <w:rFonts w:ascii="宋体"/>
          <w:color w:val="auto"/>
          <w:spacing w:val="20"/>
          <w:szCs w:val="21"/>
          <w:u w:val="single"/>
          <w:highlight w:val="auto"/>
        </w:rPr>
      </w:pPr>
      <w:r>
        <w:rPr>
          <w:rFonts w:ascii="宋体" w:hint="eastAsia"/>
          <w:color w:val="auto"/>
          <w:szCs w:val="21"/>
          <w:highlight w:val="auto"/>
        </w:rPr>
        <w:t>投标文件签署人（签字或盖章）：</w:t>
      </w:r>
    </w:p>
    <w:p>
      <w:pPr>
        <w:ind w:right="375"/>
        <w:jc w:val="right"/>
        <w:rPr>
          <w:rFonts w:ascii="宋体"/>
          <w:color w:val="auto"/>
          <w:spacing w:val="20"/>
          <w:szCs w:val="21"/>
          <w:highlight w:val="auto"/>
        </w:rPr>
      </w:pPr>
    </w:p>
    <w:p>
      <w:pPr>
        <w:ind w:right="375"/>
        <w:jc w:val="right"/>
        <w:rPr>
          <w:rFonts w:ascii="宋体"/>
          <w:color w:val="auto"/>
          <w:szCs w:val="21"/>
          <w:highlight w:val="auto"/>
        </w:rPr>
      </w:pPr>
      <w:r>
        <w:rPr>
          <w:rFonts w:ascii="宋体" w:hint="eastAsia"/>
          <w:color w:val="auto"/>
          <w:spacing w:val="20"/>
          <w:szCs w:val="21"/>
          <w:highlight w:val="auto"/>
        </w:rPr>
        <w:t>日期：</w:t>
      </w:r>
      <w:r>
        <w:rPr>
          <w:rFonts w:ascii="宋体"/>
          <w:color w:val="auto"/>
          <w:spacing w:val="20"/>
          <w:szCs w:val="21"/>
          <w:highlight w:val="auto"/>
        </w:rPr>
        <w:t xml:space="preserve">  </w:t>
      </w:r>
      <w:r>
        <w:rPr>
          <w:rFonts w:ascii="宋体" w:hint="eastAsia"/>
          <w:color w:val="auto"/>
          <w:szCs w:val="21"/>
          <w:highlight w:val="auto"/>
        </w:rPr>
        <w:t>年</w:t>
      </w:r>
      <w:r>
        <w:rPr>
          <w:rFonts w:ascii="宋体"/>
          <w:color w:val="auto"/>
          <w:szCs w:val="21"/>
          <w:highlight w:val="auto"/>
        </w:rPr>
        <w:t xml:space="preserve">  </w:t>
      </w:r>
      <w:r>
        <w:rPr>
          <w:rFonts w:ascii="宋体" w:hint="eastAsia"/>
          <w:color w:val="auto"/>
          <w:szCs w:val="21"/>
          <w:highlight w:val="auto"/>
        </w:rPr>
        <w:t>月</w:t>
      </w:r>
      <w:r>
        <w:rPr>
          <w:rFonts w:ascii="宋体"/>
          <w:color w:val="auto"/>
          <w:szCs w:val="21"/>
          <w:highlight w:val="auto"/>
        </w:rPr>
        <w:t xml:space="preserve">  </w:t>
      </w:r>
      <w:r>
        <w:rPr>
          <w:rFonts w:ascii="宋体" w:hint="eastAsia"/>
          <w:color w:val="auto"/>
          <w:szCs w:val="21"/>
          <w:highlight w:val="auto"/>
        </w:rPr>
        <w:t>日</w:t>
      </w:r>
    </w:p>
    <w:p>
      <w:pPr>
        <w:ind w:right="480"/>
        <w:rPr>
          <w:rFonts w:ascii="宋体"/>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ind w:right="480"/>
        <w:rPr>
          <w:color w:val="auto"/>
          <w:szCs w:val="21"/>
          <w:highlight w:val="auto"/>
        </w:rPr>
      </w:pPr>
    </w:p>
    <w:p>
      <w:pPr>
        <w:autoSpaceDE w:val="0"/>
        <w:autoSpaceDN w:val="0"/>
        <w:adjustRightInd w:val="0"/>
        <w:jc w:val="left"/>
        <w:rPr>
          <w:rFonts w:ascii="宋体"/>
          <w:color w:val="auto"/>
          <w:kern w:val="0"/>
          <w:szCs w:val="21"/>
          <w:highlight w:val="auto"/>
        </w:rPr>
      </w:pPr>
      <w:r>
        <w:rPr>
          <w:rFonts w:ascii="宋体" w:hint="eastAsia"/>
          <w:color w:val="auto"/>
          <w:kern w:val="0"/>
          <w:szCs w:val="21"/>
          <w:highlight w:val="auto"/>
        </w:rPr>
        <w:t>名称：大地工程咨询有限公司嘉兴分公司</w:t>
      </w:r>
    </w:p>
    <w:p>
      <w:pPr>
        <w:autoSpaceDE w:val="0"/>
        <w:autoSpaceDN w:val="0"/>
        <w:adjustRightInd w:val="0"/>
        <w:jc w:val="left"/>
        <w:rPr>
          <w:rFonts w:ascii="宋体"/>
          <w:color w:val="auto"/>
          <w:kern w:val="0"/>
          <w:szCs w:val="21"/>
          <w:highlight w:val="auto"/>
        </w:rPr>
      </w:pPr>
      <w:r>
        <w:rPr>
          <w:rFonts w:ascii="宋体" w:hint="eastAsia"/>
          <w:color w:val="auto"/>
          <w:kern w:val="0"/>
          <w:szCs w:val="21"/>
          <w:highlight w:val="auto"/>
        </w:rPr>
        <w:t>开户行及账号：浙江禾城农村商业银行股份有限公司南湖支行, 201000264569242</w:t>
      </w:r>
    </w:p>
    <w:p>
      <w:pPr>
        <w:rPr>
          <w:color w:val="auto"/>
          <w:highlight w:val="auto"/>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B1"/>
    <w:family w:val="auto"/>
    <w:pitch w:val="variable"/>
    <w:sig w:usb0="000002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楷体">
    <w:panose1 w:val="02010609060101010101"/>
    <w:charset w:val="86"/>
    <w:family w:val="modern"/>
    <w:pitch w:val="variable"/>
    <w:sig w:usb0="800002BF" w:usb1="38CF7CFA" w:usb2="00000016" w:usb3="00000000" w:csb0="00040001" w:csb1="00000000"/>
  </w:font>
  <w:font w:name="Courier New">
    <w:panose1 w:val="02070309020205020404"/>
    <w:charset w:val="01"/>
    <w:family w:val="modern"/>
    <w:pitch w:val="variable"/>
    <w:sig w:usb0="E0002EFF" w:usb1="C0007843" w:usb2="00000009" w:usb3="00000000" w:csb0="400001FF" w:csb1="FFFF0000"/>
  </w:font>
  <w:font w:name="仿宋_GB2312">
    <w:altName w:val="仿宋"/>
    <w:panose1 w:val="00000000000000000000"/>
    <w:charset w:val="86"/>
    <w:family w:val="modern"/>
    <w:pitch w:val="variable"/>
    <w:sig w:usb0="00000000" w:usb1="00000000" w:usb2="00000000" w:usb3="00000000" w:csb0="00040000" w:csb1="00000000"/>
  </w:font>
  <w:font w:name="楷体_GB2312">
    <w:altName w:val="楷体"/>
    <w:panose1 w:val="00000000000000000000"/>
    <w:charset w:val="86"/>
    <w:family w:val="modern"/>
    <w:pitch w:val="variable"/>
    <w:sig w:usb0="00000000" w:usb1="00000000" w:usb2="00000010" w:usb3="00000000" w:csb0="00040000" w:csb1="00000000"/>
  </w:font>
  <w:font w:name="Wingdings">
    <w:panose1 w:val="05000000000000000000"/>
    <w:charset w:val="02"/>
    <w:family w:val="auto"/>
    <w:pitch w:val="variable"/>
    <w:sig w:usb0="00000000" w:usb1="00000000" w:usb2="00000000" w:usb3="00000000" w:csb0="80000000" w:csb1="00000000"/>
  </w:font>
  <w:font w:name="微软雅黑">
    <w:panose1 w:val="020B0503020204020204"/>
    <w:charset w:val="86"/>
    <w:family w:val="auto"/>
    <w:pitch w:val="variable"/>
    <w:sig w:usb0="80000287" w:usb1="2ACF3C50" w:usb2="00000016" w:usb3="00000000" w:csb0="0004001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200247B" w:usb2="00000009" w:usb3="00000000" w:csb0="200001FF" w:csb1="00000000"/>
  </w:font>
  <w:font w:name="Century Gothic">
    <w:panose1 w:val="020B0502020202020204"/>
    <w:charset w:val="00"/>
    <w:family w:val="swiss"/>
    <w:pitch w:val="variable"/>
    <w:sig w:usb0="00000287" w:usb1="00000000" w:usb2="00000000" w:usb3="00000000" w:csb0="2000009F" w:csb1="DFD70000"/>
  </w:font>
  <w:font w:name="Cambria">
    <w:panose1 w:val="02040503050406030204"/>
    <w:charset w:val="00"/>
    <w:family w:val="roman"/>
    <w:pitch w:val="variable"/>
    <w:sig w:usb0="E00006FF" w:usb1="420024FF" w:usb2="02000000" w:usb3="00000000" w:csb0="2000019F" w:csb1="00000000"/>
  </w:font>
  <w:font w:name="Tahoma">
    <w:panose1 w:val="020B0604030504040204"/>
    <w:charset w:val="00"/>
    <w:family w:val="swiss"/>
    <w:pitch w:val="variable"/>
    <w:sig w:usb0="E1002EFF" w:usb1="C000605B" w:usb2="00000029" w:usb3="00000000" w:csb0="200101FF" w:csb1="20280000"/>
  </w:font>
  <w:font w:name="Wingdings 2">
    <w:panose1 w:val="05020102010507070707"/>
    <w:charset w:val="02"/>
    <w:family w:val="roman"/>
    <w:pitch w:val="variable"/>
    <w:sig w:usb0="00000000" w:usb1="00000000" w:usb2="00000000" w:usb3="00000000" w:csb0="80000000" w:csb1="00000000"/>
  </w:font>
  <w:font w:name="Arial Narrow">
    <w:panose1 w:val="020B0606020202030204"/>
    <w:charset w:val="00"/>
    <w:family w:val="swiss"/>
    <w:pitch w:val="variable"/>
    <w:sig w:usb0="00000287" w:usb1="00000800" w:usb2="00000000" w:usb3="00000000" w:csb0="2000009F" w:csb1="DFD70000"/>
  </w:font>
  <w:font w:name="Mincho">
    <w:altName w:val="Yu Gothic UI"/>
    <w:panose1 w:val="02020609040305080305"/>
    <w:charset w:val="80"/>
    <w:family w:val="roman"/>
    <w:pitch w:val="variable"/>
    <w:sig w:usb0="00000000" w:usb1="00000000" w:usb2="00000010" w:usb3="00000000" w:csb0="0002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jc w:val="right"/>
    </w:pPr>
    <w:r>
      <w:rPr>
        <w:sz w:val="18"/>
      </w:rPr>
      <mc:AlternateContent>
        <mc:Choice Requires="wps">
          <w:drawing>
            <wp:anchor distT="0" distB="0" distL="114298" distR="114298" simplePos="0" relativeHeight="20" behindDoc="0" locked="0" layoutInCell="1" hidden="0" allowOverlap="1">
              <wp:simplePos x="0" y="0"/>
              <wp:positionH relativeFrom="margin">
                <wp:align>center</wp:align>
              </wp:positionH>
              <wp:positionV relativeFrom="paragraph">
                <wp:posOffset>0</wp:posOffset>
              </wp:positionV>
              <wp:extent cx="57149" cy="131557"/>
              <wp:effectExtent l="0" t="0" r="0" b="0"/>
              <wp:wrapNone/>
              <wp:docPr id="1" name="文本框 1"/>
              <wp:cNvGraphicFramePr>
                <a:graphicFrameLocks noChangeAspect="0"/>
              </wp:cNvGraphicFramePr>
              <a:graphic>
                <a:graphicData uri="http://schemas.microsoft.com/office/word/2010/wordprocessingShape">
                  <wps:wsp>
                    <wps:cNvSpPr/>
                    <wps:spPr>
                      <a:xfrm rot="0">
                        <a:off x="0" y="0"/>
                        <a:ext cx="57149" cy="131557"/>
                      </a:xfrm>
                      <a:prstGeom prst="rect"/>
                      <a:noFill/>
                      <a:ln w="6350" cmpd="sng" cap="flat">
                        <a:noFill/>
                        <a:prstDash val="solid"/>
                        <a:round/>
                      </a:ln>
                    </wps:spPr>
                    <wps:txbx id="2">
                      <w:txbxContent>
                        <w:p>
                          <w:pPr>
                            <w:pStyle w:val="33"/>
                            <w:tabs>
                              <w:tab w:val="center" w:pos="4153"/>
                              <w:tab w:val="right" w:pos="8306"/>
                            </w:tabs>
                            <w:jc w:val="right"/>
                          </w:pPr>
                          <w:r>
                            <w:rPr>
                              <w:lang w:val="zh-CN"/>
                            </w:rPr>
                            <w:fldChar w:fldCharType="begin"/>
                          </w:r>
                          <w:r>
                            <w:rPr>
                              <w:lang w:val="zh-CN"/>
                            </w:rPr>
                            <w:instrText>PAGE   \* MERGEFORMAT</w:instrText>
                          </w:r>
                          <w:r>
                            <w:rPr>
                              <w:lang w:val="zh-CN"/>
                            </w:rPr>
                            <w:fldChar w:fldCharType="separate"/>
                          </w:r>
                          <w:r>
                            <w:rPr>
                              <w:lang w:val="zh-CN"/>
                            </w:rPr>
                            <w:t>7</w:t>
                          </w:r>
                          <w:r>
                            <w:rPr>
                              <w:lang w:val="zh-CN"/>
                            </w:rPr>
                            <w:fldChar w:fldCharType="end"/>
                          </w:r>
                        </w:p>
                      </w:txbxContent>
                    </wps:txbx>
                    <wps:bodyPr vert="horz" wrap="none" lIns="0" tIns="0" rIns="0" bIns="0" anchor="t" anchorCtr="0" upright="0">
                      <a:spAutoFit/>
                    </wps:bodyPr>
                  </wps:wsp>
                </a:graphicData>
              </a:graphic>
            </wp:anchor>
          </w:drawing>
        </mc:Choice>
        <mc:Fallback>
          <w:pict>
            <v:shape type="#_x0000_t202" id="文本框 1 3" o:spid="_x0000_s3" filled="f" stroked="f" strokeweight="0.5pt" style="position:absolute;margin-left:0.0pt;margin-top:0.0pt;width:4.4999313pt;height:10.35884pt;z-index:20;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33"/>
                      <w:tabs>
                        <w:tab w:val="center" w:pos="4153"/>
                        <w:tab w:val="right" w:pos="8306"/>
                      </w:tabs>
                      <w:jc w:val="right"/>
                    </w:pPr>
                    <w:r>
                      <w:rPr>
                        <w:lang w:val="zh-CN"/>
                      </w:rPr>
                      <w:fldChar w:fldCharType="begin"/>
                    </w:r>
                    <w:r>
                      <w:rPr>
                        <w:lang w:val="zh-CN"/>
                      </w:rPr>
                      <w:instrText>PAGE   \* MERGEFORMAT</w:instrText>
                    </w:r>
                    <w:r>
                      <w:rPr>
                        <w:lang w:val="zh-CN"/>
                      </w:rPr>
                      <w:fldChar w:fldCharType="separate"/>
                    </w:r>
                    <w:r>
                      <w:rPr>
                        <w:lang w:val="zh-CN"/>
                      </w:rPr>
                      <w:t>7</w:t>
                    </w:r>
                    <w:r>
                      <w:rPr>
                        <w:lang w:val="zh-CN"/>
                      </w:rPr>
                      <w:fldChar w:fldCharType="end"/>
                    </w:r>
                  </w:p>
                </w:txbxContent>
              </v:textbox>
            </v:shape>
          </w:pict>
        </mc:Fallback>
      </mc:AlternateContent>
    </w:r>
  </w:p>
  <w:p>
    <w:pPr>
      <w:pStyle w:val="33"/>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mc:AlternateContent>
        <mc:Choice Requires="wps">
          <w:drawing>
            <wp:anchor distT="0" distB="0" distL="114298" distR="114298" simplePos="0" relativeHeight="18"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4" name="文本框 91"/>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5">
                      <w:txbxContent>
                        <w:p>
                          <w:pPr>
                            <w:pStyle w:val="33"/>
                            <w:tabs>
                              <w:tab w:val="center" w:pos="4153"/>
                              <w:tab w:val="right" w:pos="8306"/>
                            </w:tabs>
                          </w:pPr>
                          <w:r>
                            <w:fldChar w:fldCharType="begin"/>
                          </w:r>
                          <w:r>
                            <w:instrText xml:space="preserve"> PAGE  \* MERGEFORMAT </w:instrText>
                          </w:r>
                          <w:r>
                            <w:fldChar w:fldCharType="separate"/>
                          </w:r>
                          <w:r>
                            <w:t>33</w:t>
                          </w:r>
                          <w:r>
                            <w:fldChar w:fldCharType="end"/>
                          </w:r>
                        </w:p>
                      </w:txbxContent>
                    </wps:txbx>
                    <wps:bodyPr vert="horz" wrap="none" lIns="0" tIns="0" rIns="0" bIns="0" anchor="t" anchorCtr="0" upright="0">
                      <a:spAutoFit/>
                    </wps:bodyPr>
                  </wps:wsp>
                </a:graphicData>
              </a:graphic>
            </wp:anchor>
          </w:drawing>
        </mc:Choice>
        <mc:Fallback>
          <w:pict>
            <v:shape type="#_x0000_t202" id="文本框 91 6" o:spid="_x0000_s6" filled="f" stroked="f" strokeweight="0.5pt" style="position:absolute;margin-left:0.0pt;margin-top:0.0pt;width:8.999863pt;height:10.358851pt;z-index:18;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1"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7" name="文本框 3"/>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8">
                      <w:txbxContent>
                        <w:p>
                          <w:pPr>
                            <w:pStyle w:val="33"/>
                            <w:tabs>
                              <w:tab w:val="center" w:pos="4153"/>
                              <w:tab w:val="right" w:pos="8306"/>
                            </w:tabs>
                            <w:rPr>
                              <w:rStyle w:val="49"/>
                            </w:rPr>
                          </w:pPr>
                          <w:r>
                            <w:rPr>
                              <w:rStyle w:val="49"/>
                            </w:rPr>
                            <w:fldChar w:fldCharType="begin"/>
                          </w:r>
                          <w:r>
                            <w:rPr>
                              <w:rStyle w:val="49"/>
                            </w:rPr>
                            <w:instrText xml:space="preserve">PAGE  </w:instrText>
                          </w:r>
                          <w:r>
                            <w:fldChar w:fldCharType="separate"/>
                          </w:r>
                          <w:r>
                            <w:rPr>
                              <w:rStyle w:val="49"/>
                            </w:rPr>
                            <w:t>67</w:t>
                          </w:r>
                          <w:r>
                            <w:fldChar w:fldCharType="end"/>
                          </w:r>
                        </w:p>
                      </w:txbxContent>
                    </wps:txbx>
                    <wps:bodyPr vert="horz" wrap="none" lIns="0" tIns="0" rIns="0" bIns="0" anchor="t" anchorCtr="0" upright="0">
                      <a:spAutoFit/>
                    </wps:bodyPr>
                  </wps:wsp>
                </a:graphicData>
              </a:graphic>
            </wp:anchor>
          </w:drawing>
        </mc:Choice>
        <mc:Fallback>
          <w:pict>
            <v:shape type="#_x0000_t202" id="文本框 3 9" o:spid="_x0000_s9" filled="f" stroked="f" strokeweight="0.5pt" style="position:absolute;margin-left:0.0pt;margin-top:0.0pt;width:8.999863pt;height:10.35884pt;z-index:21;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fldChar w:fldCharType="separate"/>
                    </w:r>
                    <w:r>
                      <w:rPr>
                        <w:rStyle w:val="49"/>
                      </w:rPr>
                      <w:t>67</w:t>
                    </w:r>
                    <w:r>
                      <w:fldChar w:fldCharType="end"/>
                    </w:r>
                  </w:p>
                </w:txbxContent>
              </v:textbox>
            </v:shape>
          </w:pict>
        </mc:Fallback>
      </mc:AlternateConten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2" behindDoc="0" locked="0" layoutInCell="1" hidden="0" allowOverlap="1">
              <wp:simplePos x="0" y="0"/>
              <wp:positionH relativeFrom="margin">
                <wp:align>center</wp:align>
              </wp:positionH>
              <wp:positionV relativeFrom="paragraph">
                <wp:posOffset>0</wp:posOffset>
              </wp:positionV>
              <wp:extent cx="133350" cy="172688"/>
              <wp:effectExtent l="0" t="0" r="0" b="0"/>
              <wp:wrapNone/>
              <wp:docPr id="10" name="文本框 4"/>
              <wp:cNvGraphicFramePr>
                <a:graphicFrameLocks noChangeAspect="0"/>
              </wp:cNvGraphicFramePr>
              <a:graphic>
                <a:graphicData uri="http://schemas.microsoft.com/office/word/2010/wordprocessingShape">
                  <wps:wsp>
                    <wps:cNvSpPr/>
                    <wps:spPr>
                      <a:xfrm rot="0">
                        <a:off x="0" y="0"/>
                        <a:ext cx="133350" cy="172688"/>
                      </a:xfrm>
                      <a:prstGeom prst="rect"/>
                      <a:noFill/>
                      <a:ln w="6350" cmpd="sng" cap="flat">
                        <a:noFill/>
                        <a:prstDash val="solid"/>
                        <a:round/>
                      </a:ln>
                    </wps:spPr>
                    <wps:txbx id="11">
                      <w:txbxContent>
                        <w:p>
                          <w:pPr>
                            <w:pStyle w:val="33"/>
                            <w:tabs>
                              <w:tab w:val="center" w:pos="4153"/>
                              <w:tab w:val="right" w:pos="8306"/>
                            </w:tabs>
                            <w:rPr>
                              <w:rStyle w:val="49"/>
                              <w:rFonts w:ascii="仿宋_GB2312" w:eastAsia="仿宋_GB2312"/>
                              <w:sz w:val="21"/>
                              <w:szCs w:val="21"/>
                            </w:rPr>
                          </w:pPr>
                          <w:r>
                            <w:rPr>
                              <w:rStyle w:val="49"/>
                              <w:rFonts w:ascii="仿宋_GB2312" w:eastAsia="仿宋_GB2312"/>
                              <w:sz w:val="21"/>
                              <w:szCs w:val="21"/>
                            </w:rPr>
                            <w:fldChar w:fldCharType="begin"/>
                          </w:r>
                          <w:r>
                            <w:rPr>
                              <w:rStyle w:val="49"/>
                              <w:rFonts w:ascii="仿宋_GB2312" w:eastAsia="仿宋_GB2312"/>
                              <w:sz w:val="21"/>
                              <w:szCs w:val="21"/>
                            </w:rPr>
                            <w:instrText xml:space="preserve">PAGE  </w:instrText>
                          </w:r>
                          <w:r>
                            <w:rPr>
                              <w:rStyle w:val="49"/>
                              <w:rFonts w:ascii="仿宋_GB2312" w:eastAsia="仿宋_GB2312"/>
                              <w:sz w:val="21"/>
                              <w:szCs w:val="21"/>
                            </w:rPr>
                            <w:fldChar w:fldCharType="separate"/>
                          </w:r>
                          <w:r>
                            <w:rPr>
                              <w:rStyle w:val="49"/>
                              <w:rFonts w:ascii="仿宋_GB2312" w:eastAsia="仿宋_GB2312"/>
                              <w:sz w:val="21"/>
                              <w:szCs w:val="21"/>
                            </w:rPr>
                            <w:t>85</w:t>
                          </w:r>
                          <w:r>
                            <w:rPr>
                              <w:rStyle w:val="49"/>
                              <w:rFonts w:ascii="仿宋_GB2312" w:eastAsia="仿宋_GB2312"/>
                              <w:sz w:val="21"/>
                              <w:szCs w:val="21"/>
                            </w:rPr>
                            <w:fldChar w:fldCharType="end"/>
                          </w:r>
                        </w:p>
                      </w:txbxContent>
                    </wps:txbx>
                    <wps:bodyPr vert="horz" wrap="none" lIns="0" tIns="0" rIns="0" bIns="0" anchor="t" anchorCtr="0" upright="0">
                      <a:spAutoFit/>
                    </wps:bodyPr>
                  </wps:wsp>
                </a:graphicData>
              </a:graphic>
            </wp:anchor>
          </w:drawing>
        </mc:Choice>
        <mc:Fallback>
          <w:pict>
            <v:shape type="#_x0000_t202" id="文本框 4 12" o:spid="_x0000_s12" filled="f" stroked="f" strokeweight="0.5pt" style="position:absolute;margin-left:0.0pt;margin-top:0.0pt;width:10.5pt;height:13.597503pt;z-index:22;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33"/>
                      <w:tabs>
                        <w:tab w:val="center" w:pos="4153"/>
                        <w:tab w:val="right" w:pos="8306"/>
                      </w:tabs>
                      <w:rPr>
                        <w:rStyle w:val="49"/>
                        <w:rFonts w:ascii="仿宋_GB2312" w:eastAsia="仿宋_GB2312"/>
                        <w:sz w:val="21"/>
                        <w:szCs w:val="21"/>
                      </w:rPr>
                    </w:pPr>
                    <w:r>
                      <w:rPr>
                        <w:rStyle w:val="49"/>
                        <w:rFonts w:ascii="仿宋_GB2312" w:eastAsia="仿宋_GB2312"/>
                        <w:sz w:val="21"/>
                        <w:szCs w:val="21"/>
                      </w:rPr>
                      <w:fldChar w:fldCharType="begin"/>
                    </w:r>
                    <w:r>
                      <w:rPr>
                        <w:rStyle w:val="49"/>
                        <w:rFonts w:ascii="仿宋_GB2312" w:eastAsia="仿宋_GB2312"/>
                        <w:sz w:val="21"/>
                        <w:szCs w:val="21"/>
                      </w:rPr>
                      <w:instrText xml:space="preserve">PAGE  </w:instrText>
                    </w:r>
                    <w:r>
                      <w:rPr>
                        <w:rStyle w:val="49"/>
                        <w:rFonts w:ascii="仿宋_GB2312" w:eastAsia="仿宋_GB2312"/>
                        <w:sz w:val="21"/>
                        <w:szCs w:val="21"/>
                      </w:rPr>
                      <w:fldChar w:fldCharType="separate"/>
                    </w:r>
                    <w:r>
                      <w:rPr>
                        <w:rStyle w:val="49"/>
                        <w:rFonts w:ascii="仿宋_GB2312" w:eastAsia="仿宋_GB2312"/>
                        <w:sz w:val="21"/>
                        <w:szCs w:val="21"/>
                      </w:rPr>
                      <w:t>85</w:t>
                    </w:r>
                    <w:r>
                      <w:rPr>
                        <w:rStyle w:val="49"/>
                        <w:rFonts w:ascii="仿宋_GB2312" w:eastAsia="仿宋_GB2312"/>
                        <w:sz w:val="21"/>
                        <w:szCs w:val="21"/>
                      </w:rPr>
                      <w:fldChar w:fldCharType="end"/>
                    </w:r>
                  </w:p>
                </w:txbxContent>
              </v:textbox>
            </v:shape>
          </w:pict>
        </mc:Fallback>
      </mc:AlternateContent>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center" w:y="1" w:anchorLock="0"/>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1</w:t>
    </w:r>
    <w:r>
      <w:rPr>
        <w:rStyle w:val="49"/>
      </w:rPr>
      <w:fldChar w:fldCharType="end"/>
    </w:r>
  </w:p>
  <w:p>
    <w:pPr>
      <w:pStyle w:val="33"/>
      <w:tabs>
        <w:tab w:val="center" w:pos="4153"/>
        <w:tab w:val="right" w:pos="8306"/>
      </w:tabs>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3"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13" name="文本框 5"/>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14">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89</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5 15" o:spid="_x0000_s15" filled="f" stroked="f" strokeweight="0.5pt" style="position:absolute;margin-left:0.0pt;margin-top:0.0pt;width:8.999863pt;height:10.35884pt;z-index:23;mso-position-horizontal:center;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89</w:t>
                    </w:r>
                    <w:r>
                      <w:rPr>
                        <w:rStyle w:val="49"/>
                      </w:rPr>
                      <w:fldChar w:fldCharType="end"/>
                    </w:r>
                  </w:p>
                </w:txbxContent>
              </v:textbox>
            </v:shape>
          </w:pict>
        </mc:Fallback>
      </mc:AlternateContent>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center" w:y="1" w:anchorLock="0"/>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fldChar w:fldCharType="end"/>
    </w:r>
  </w:p>
  <w:p>
    <w:pPr>
      <w:pStyle w:val="33"/>
      <w:tabs>
        <w:tab w:val="center" w:pos="4153"/>
        <w:tab w:val="right" w:pos="8306"/>
      </w:tabs>
    </w:pP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5"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16" name="文本框 9"/>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17">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9 18" o:spid="_x0000_s18" filled="f" stroked="f" strokeweight="0.5pt" style="position:absolute;margin-left:0.0pt;margin-top:0.0pt;width:8.999863pt;height:10.35884pt;z-index:25;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v:textbox>
            </v:shape>
          </w:pict>
        </mc:Fallback>
      </mc:AlternateContent>
    </w: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4"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19" name="文本框 6"/>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20">
                      <w:txbxContent>
                        <w:p>
                          <w:pPr>
                            <w:pStyle w:val="33"/>
                            <w:tabs>
                              <w:tab w:val="center" w:pos="4153"/>
                              <w:tab w:val="right" w:pos="8306"/>
                            </w:tabs>
                          </w:pPr>
                          <w:r>
                            <w:fldChar w:fldCharType="begin"/>
                          </w:r>
                          <w:r>
                            <w:instrText xml:space="preserve"> PAGE  \* MERGEFORMAT </w:instrText>
                          </w:r>
                          <w:r>
                            <w:fldChar w:fldCharType="separate"/>
                          </w:r>
                          <w:r>
                            <w:t>75</w:t>
                          </w:r>
                          <w:r>
                            <w:fldChar w:fldCharType="end"/>
                          </w:r>
                        </w:p>
                      </w:txbxContent>
                    </wps:txbx>
                    <wps:bodyPr vert="horz" wrap="none" lIns="0" tIns="0" rIns="0" bIns="0" anchor="t" anchorCtr="0" upright="0">
                      <a:spAutoFit/>
                    </wps:bodyPr>
                  </wps:wsp>
                </a:graphicData>
              </a:graphic>
            </wp:anchor>
          </w:drawing>
        </mc:Choice>
        <mc:Fallback>
          <w:pict>
            <v:shape type="#_x0000_t202" id="文本框 6 21" o:spid="_x0000_s21" filled="f" stroked="f" strokeweight="0.5pt" style="position:absolute;margin-left:0.0pt;margin-top:0.0pt;width:8.999863pt;height:10.35884pt;z-index:24;mso-position-horizontal:center;mso-position-horizontal-relative:margin;mso-position-vertical:absolute;mso-wrap-distance-left:8.999863pt;mso-wrap-distance-right:8.999863pt;mso-wrap-style:none;">
              <v:stroke color="#000000"/>
              <v:textbox id="854"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75</w:t>
                    </w:r>
                    <w:r>
                      <w:fldChar w:fldCharType="end"/>
                    </w:r>
                  </w:p>
                </w:txbxContent>
              </v:textbox>
            </v:shape>
          </w:pict>
        </mc:Fallback>
      </mc:AlternateContent>
    </w:r>
  </w:p>
</w:ftr>
</file>

<file path=word/footer10.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19" behindDoc="0" locked="0" layoutInCell="1" hidden="0" allowOverlap="1">
              <wp:simplePos x="0" y="0"/>
              <wp:positionH relativeFrom="margin">
                <wp:align>center</wp:align>
              </wp:positionH>
              <wp:positionV relativeFrom="paragraph">
                <wp:posOffset>0</wp:posOffset>
              </wp:positionV>
              <wp:extent cx="57149" cy="131557"/>
              <wp:effectExtent l="0" t="0" r="0" b="0"/>
              <wp:wrapNone/>
              <wp:docPr id="22" name="文本框 2"/>
              <wp:cNvGraphicFramePr>
                <a:graphicFrameLocks noChangeAspect="0"/>
              </wp:cNvGraphicFramePr>
              <a:graphic>
                <a:graphicData uri="http://schemas.microsoft.com/office/word/2010/wordprocessingShape">
                  <wps:wsp>
                    <wps:cNvSpPr/>
                    <wps:spPr>
                      <a:xfrm rot="0">
                        <a:off x="0" y="0"/>
                        <a:ext cx="57149" cy="131557"/>
                      </a:xfrm>
                      <a:prstGeom prst="rect"/>
                      <a:noFill/>
                      <a:ln w="9525" cmpd="sng" cap="flat">
                        <a:noFill/>
                        <a:prstDash val="solid"/>
                        <a:round/>
                      </a:ln>
                    </wps:spPr>
                    <wps:txbx id="23">
                      <w:txbxContent>
                        <w:p>
                          <w:pPr>
                            <w:pStyle w:val="33"/>
                            <w:tabs>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type="#_x0000_t202" id="文本框 2 24" o:spid="_x0000_s24" filled="f" stroked="f" style="position:absolute;margin-left:0.0pt;margin-top:0.0pt;width:4.4999313pt;height:10.35884pt;z-index:19;mso-position-horizontal:center;mso-position-horizontal-relative:margin;mso-position-vertical:absolute;mso-wrap-distance-left:8.999863pt;mso-wrap-distance-right:8.999863pt;mso-wrap-style:none;">
              <v:stroke color="#000000"/>
              <v:textbox id="855"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6" behindDoc="0" locked="0" layoutInCell="1" hidden="0" allowOverlap="1">
              <wp:simplePos x="0" y="0"/>
              <wp:positionH relativeFrom="margin">
                <wp:align>center</wp:align>
              </wp:positionH>
              <wp:positionV relativeFrom="paragraph">
                <wp:posOffset>0</wp:posOffset>
              </wp:positionV>
              <wp:extent cx="114298" cy="131557"/>
              <wp:effectExtent l="0" t="0" r="0" b="0"/>
              <wp:wrapNone/>
              <wp:docPr id="25" name="文本框 8"/>
              <wp:cNvGraphicFramePr>
                <a:graphicFrameLocks noChangeAspect="0"/>
              </wp:cNvGraphicFramePr>
              <a:graphic>
                <a:graphicData uri="http://schemas.microsoft.com/office/word/2010/wordprocessingShape">
                  <wps:wsp>
                    <wps:cNvSpPr/>
                    <wps:spPr>
                      <a:xfrm rot="0">
                        <a:off x="0" y="0"/>
                        <a:ext cx="114298" cy="131557"/>
                      </a:xfrm>
                      <a:prstGeom prst="rect"/>
                      <a:noFill/>
                      <a:ln w="6350" cmpd="sng" cap="flat">
                        <a:noFill/>
                        <a:prstDash val="solid"/>
                        <a:round/>
                      </a:ln>
                    </wps:spPr>
                    <wps:txbx id="26">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8 27" o:spid="_x0000_s27" filled="f" stroked="f" strokeweight="0.5pt" style="position:absolute;margin-left:0.0pt;margin-top:0.0pt;width:8.999863pt;height:10.35884pt;z-index:26;mso-position-horizontal:center;mso-position-horizontal-relative:margin;mso-position-vertical:absolute;mso-wrap-distance-left:8.999863pt;mso-wrap-distance-right:8.999863pt;mso-wrap-style:none;">
              <v:stroke color="#000000"/>
              <v:textbox id="856"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jc w:val="right"/>
      <w:rPr>
        <w:rFonts w:ascii="微软雅黑" w:eastAsia="微软雅黑"/>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EE21F203"/>
    <w:multiLevelType w:val="multilevel"/>
    <w:tmpl w:val="EE21F203"/>
    <w:lvl w:ilvl="0">
      <w:start w:val="1"/>
      <w:numFmt w:val="decimal"/>
      <w:lvlRestart w:val="0"/>
      <w:lvlText w:val="（%1）"/>
      <w:lvlJc w:val="left"/>
      <w:pPr>
        <w:ind w:left="926" w:hanging="500"/>
      </w:pPr>
      <w:rPr>
        <w:rFonts w:cs="Times New Roman" w:hint="eastAsia"/>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F1D14BBD"/>
    <w:multiLevelType w:val="multilevel"/>
    <w:tmpl w:val="F1D14BBD"/>
    <w:lvl w:ilvl="0">
      <w:start w:val="1"/>
      <w:numFmt w:val="decimal"/>
      <w:lvlRestart w:val="0"/>
      <w:lvlText w:val="（%1）"/>
      <w:lvlJc w:val="left"/>
      <w:pPr>
        <w:ind w:left="1142" w:hanging="720"/>
      </w:pPr>
      <w:rPr>
        <w:rFonts w:cs="Times New Roman" w:hint="default"/>
      </w:rPr>
    </w:lvl>
    <w:lvl w:ilvl="1">
      <w:start w:val="1"/>
      <w:numFmt w:val="lowerLetter"/>
      <w:lvlText w:val="%2)"/>
      <w:lvlJc w:val="left"/>
      <w:pPr>
        <w:ind w:left="1262" w:hanging="420"/>
      </w:pPr>
      <w:rPr>
        <w:rFonts w:cs="Times New Roman"/>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2">
    <w:nsid w:val="0AB90C6B"/>
    <w:multiLevelType w:val="multilevel"/>
    <w:tmpl w:val="0AB90C6B"/>
    <w:lvl w:ilvl="0">
      <w:start w:val="1"/>
      <w:numFmt w:val="decimal"/>
      <w:lvlRestart w:val="0"/>
      <w:lvlText w:val="（%1）"/>
      <w:lvlJc w:val="left"/>
      <w:pPr>
        <w:ind w:left="1262" w:hanging="500"/>
      </w:pPr>
      <w:rPr>
        <w:rFonts w:cs="Times New Roman" w:hint="eastAsia"/>
      </w:rPr>
    </w:lvl>
    <w:lvl w:ilvl="1">
      <w:start w:val="1"/>
      <w:numFmt w:val="japaneseCounting"/>
      <w:lvlText w:val="（%2）"/>
      <w:lvlJc w:val="left"/>
      <w:pPr>
        <w:ind w:left="1562" w:hanging="720"/>
      </w:pPr>
      <w:rPr>
        <w:rFonts w:cs="Times New Roman" w:hint="default"/>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3">
    <w:nsid w:val="9443C1F7"/>
    <w:multiLevelType w:val="multilevel"/>
    <w:tmpl w:val="9443C1F7"/>
    <w:lvl w:ilvl="0">
      <w:start w:val="1"/>
      <w:numFmt w:val="decimal"/>
      <w:lvlRestart w:val="0"/>
      <w:lvlText w:val="（%1）"/>
      <w:lvlJc w:val="left"/>
      <w:pPr>
        <w:ind w:left="1262" w:hanging="500"/>
      </w:pPr>
      <w:rPr>
        <w:rFonts w:cs="Times New Roman" w:hint="eastAsia"/>
      </w:rPr>
    </w:lvl>
    <w:lvl w:ilvl="1">
      <w:start w:val="1"/>
      <w:numFmt w:val="japaneseCounting"/>
      <w:lvlText w:val="（%2）"/>
      <w:lvlJc w:val="left"/>
      <w:pPr>
        <w:ind w:left="1562" w:hanging="720"/>
      </w:pPr>
      <w:rPr>
        <w:rFonts w:cs="Times New Roman" w:hint="default"/>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4">
    <w:nsid w:val="82D79651"/>
    <w:multiLevelType w:val="singleLevel"/>
    <w:tmpl w:val="82D79651"/>
    <w:lvl w:ilvl="0">
      <w:start w:val="1"/>
      <w:numFmt w:val="chineseCounting"/>
      <w:lvlRestart w:val="0"/>
      <w:suff w:val="space"/>
      <w:lvlText w:val="第%1条"/>
      <w:lvlJc w:val="left"/>
      <w:pPr>
        <w:ind w:left="0" w:hanging="0"/>
      </w:pPr>
      <w:rPr>
        <w:rFonts w:hint="eastAsia"/>
        <w:b/>
        <w:bCs/>
      </w:rPr>
    </w:lvl>
  </w:abstractNum>
  <w:abstractNum w:abstractNumId="5">
    <w:nsid w:val="2DE7083A"/>
    <w:multiLevelType w:val="singleLevel"/>
    <w:tmpl w:val="2DE7083A"/>
    <w:lvl w:ilvl="0">
      <w:start w:val="1"/>
      <w:numFmt w:val="decimal"/>
      <w:lvlRestart w:val="0"/>
      <w:lvlText w:val="(%1)"/>
      <w:lvlJc w:val="left"/>
      <w:pPr>
        <w:ind w:left="845" w:hanging="425"/>
      </w:pPr>
      <w:rPr>
        <w:rFonts w:hint="default"/>
      </w:rPr>
    </w:lvl>
  </w:abstractNum>
  <w:abstractNum w:abstractNumId="6">
    <w:nsid w:val="1AD1A6CB"/>
    <w:multiLevelType w:val="singleLevel"/>
    <w:tmpl w:val="1AD1A6CB"/>
    <w:lvl w:ilvl="0">
      <w:start w:val="2"/>
      <w:numFmt w:val="decimal"/>
      <w:lvlRestart w:val="0"/>
      <w:lvlText w:val="(%1)"/>
      <w:lvlJc w:val="left"/>
      <w:pPr>
        <w:ind w:left="0" w:hanging="0"/>
      </w:pPr>
    </w:lvl>
  </w:abstractNum>
  <w:abstractNum w:abstractNumId="7">
    <w:nsid w:val="459A6135"/>
    <w:multiLevelType w:val="multilevel"/>
    <w:tmpl w:val="459A6135"/>
    <w:lvl w:ilvl="0">
      <w:start w:val="1"/>
      <w:numFmt w:val="decimal"/>
      <w:lvlRestart w:val="0"/>
      <w:lvlText w:val="%1）"/>
      <w:lvlJc w:val="left"/>
      <w:pPr>
        <w:ind w:left="420" w:hanging="420"/>
      </w:pPr>
      <w:rPr>
        <w:rFonts w:cs="Times New Roman"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8">
    <w:nsid w:val="498FA3B3"/>
    <w:multiLevelType w:val="singleLevel"/>
    <w:tmpl w:val="498FA3B3"/>
    <w:lvl w:ilvl="0">
      <w:start w:val="2"/>
      <w:numFmt w:val="decimal"/>
      <w:lvlRestart w:val="0"/>
      <w:suff w:val="nothing"/>
      <w:lvlText w:val="%1、"/>
      <w:lvlJc w:val="left"/>
      <w:pPr>
        <w:ind w:left="0" w:hanging="0"/>
      </w:pPr>
    </w:lvl>
  </w:abstractNum>
  <w:abstractNum w:abstractNumId="9">
    <w:nsid w:val="576CA253"/>
    <w:multiLevelType w:val="multilevel"/>
    <w:tmpl w:val="48256DCD"/>
    <w:lvl w:ilvl="0">
      <w:start w:val="1"/>
      <w:numFmt w:val="chineseCountingThousand"/>
      <w:lvlRestart w:val="0"/>
      <w:pStyle w:val="1"/>
      <w:lvlText w:val="第%1章"/>
      <w:lvlJc w:val="left"/>
      <w:pPr>
        <w:ind w:left="425" w:hanging="425"/>
      </w:pPr>
      <w:rPr>
        <w:rFonts w:eastAsia="宋体" w:cs="Times New Roman" w:hint="eastAsia"/>
        <w:b/>
        <w:i w:val="0"/>
        <w:sz w:val="32"/>
        <w:szCs w:val="32"/>
      </w:rPr>
    </w:lvl>
    <w:lvl w:ilvl="1">
      <w:start w:val="1"/>
      <w:numFmt w:val="decimal"/>
      <w:pStyle w:val="2"/>
      <w:isLgl/>
      <w:lvlText w:val="%1.%2"/>
      <w:lvlJc w:val="left"/>
      <w:pPr>
        <w:ind w:left="567" w:hanging="567"/>
      </w:pPr>
      <w:rPr>
        <w:rFonts w:ascii="Times New Roman" w:hAnsi="Times New Roman" w:cs="Times New Roman" w:hint="default"/>
        <w:b/>
        <w:i w:val="0"/>
        <w:sz w:val="30"/>
        <w:szCs w:val="30"/>
      </w:rPr>
    </w:lvl>
    <w:lvl w:ilvl="2">
      <w:start w:val="1"/>
      <w:numFmt w:val="decimal"/>
      <w:pStyle w:val="3"/>
      <w:isLgl/>
      <w:lvlText w:val="%1.%2.%3"/>
      <w:lvlJc w:val="left"/>
      <w:pPr>
        <w:ind w:left="709" w:hanging="709"/>
      </w:pPr>
      <w:rPr>
        <w:rFonts w:ascii="Times New Roman" w:hAnsi="Times New Roman" w:cs="Times New Roman" w:hint="default"/>
        <w:b/>
        <w:i w:val="0"/>
        <w:sz w:val="28"/>
        <w:szCs w:val="28"/>
      </w:rPr>
    </w:lvl>
    <w:lvl w:ilvl="3">
      <w:start w:val="1"/>
      <w:numFmt w:val="decimal"/>
      <w:pStyle w:val="4"/>
      <w:isLgl/>
      <w:lvlText w:val="%1.%2.%3.%4"/>
      <w:lvlJc w:val="left"/>
      <w:pPr>
        <w:ind w:left="851" w:hanging="851"/>
      </w:pPr>
      <w:rPr>
        <w:rFonts w:ascii="Times New Roman" w:hAnsi="Times New Roman" w:cs="Times New Roman" w:hint="default"/>
        <w:sz w:val="24"/>
        <w:szCs w:val="24"/>
      </w:rPr>
    </w:lvl>
    <w:lvl w:ilvl="4">
      <w:start w:val="1"/>
      <w:numFmt w:val="decimal"/>
      <w:pStyle w:val="5"/>
      <w:isLgl/>
      <w:lvlText w:val="%1.%2.%3.%4.%5"/>
      <w:lvlJc w:val="left"/>
      <w:pPr>
        <w:ind w:left="992" w:hanging="992"/>
      </w:pPr>
      <w:rPr>
        <w:rFonts w:ascii="Times New Roman" w:hAnsi="Times New Roman" w:cs="Times New Roman" w:hint="default"/>
      </w:rPr>
    </w:lvl>
    <w:lvl w:ilvl="5">
      <w:start w:val="1"/>
      <w:numFmt w:val="decimal"/>
      <w:pStyle w:val="6"/>
      <w:isLgl/>
      <w:lvlText w:val="%1.%2.%3.%4.%5.%6"/>
      <w:lvlJc w:val="left"/>
      <w:pPr>
        <w:ind w:left="1134" w:hanging="1134"/>
      </w:pPr>
      <w:rPr>
        <w:rFonts w:cs="Times New Roman" w:hint="eastAsia"/>
      </w:rPr>
    </w:lvl>
    <w:lvl w:ilvl="6">
      <w:start w:val="1"/>
      <w:numFmt w:val="decimal"/>
      <w:pStyle w:val="7"/>
      <w:isLgl/>
      <w:lvlText w:val="%1.%2.%3.%4.%5.%6.%7"/>
      <w:lvlJc w:val="left"/>
      <w:pPr>
        <w:ind w:left="1276" w:hanging="1276"/>
      </w:pPr>
      <w:rPr>
        <w:rFonts w:cs="Times New Roman" w:hint="eastAsia"/>
      </w:rPr>
    </w:lvl>
    <w:lvl w:ilvl="7">
      <w:start w:val="1"/>
      <w:numFmt w:val="decimal"/>
      <w:pStyle w:val="8"/>
      <w:isLgl/>
      <w:lvlText w:val="%1.%2.%3.%4.%5.%6.%7.%8"/>
      <w:lvlJc w:val="left"/>
      <w:pPr>
        <w:ind w:left="1418" w:hanging="1418"/>
      </w:pPr>
      <w:rPr>
        <w:rFonts w:cs="Times New Roman" w:hint="eastAsia"/>
      </w:rPr>
    </w:lvl>
    <w:lvl w:ilvl="8">
      <w:start w:val="1"/>
      <w:numFmt w:val="decimal"/>
      <w:pStyle w:val="9"/>
      <w:isLgl/>
      <w:lvlText w:val="%1.%2.%3.%4.%5.%6.%7.%8.%9"/>
      <w:lvlJc w:val="left"/>
      <w:pPr>
        <w:ind w:left="1559" w:hanging="1559"/>
      </w:pPr>
      <w:rPr>
        <w:rFonts w:cs="Times New Roman" w:hint="eastAsia"/>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noLineBreaksAfter w:lang="zh-CN" w:val="$([{£¥·‘“〈《「『【〔〖〝﹙﹛﹝＄（．［｛￡￥"/>
  <w:noLineBreaksBefore w:lang="zh-CN" w:val="!%),.:;&gt;?]}¢¨°·ˇˉ―‖’”…‰′″›℃∶、。〃〉》」』】〕〗〞︶︺︾﹀﹄﹚﹜﹞！＂％＇），．：；？］｀｜｝～￠"/>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YzI2NjZlYzliOTZlMzhmN2QyODMxMjQ1OWRkMjExZD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autoRedefine/>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autoRedefine/>
    <w:next w:val="0"/>
    <w:pPr>
      <w:keepNext/>
      <w:keepLines/>
      <w:widowControl w:val="0"/>
      <w:numPr>
        <w:ilvl w:val="0"/>
        <w:numId w:val="10"/>
      </w:numPr>
      <w:spacing w:before="340" w:after="330" w:line="578" w:lineRule="auto"/>
      <w:outlineLvl w:val="0"/>
    </w:pPr>
    <w:rPr>
      <w:b/>
      <w:kern w:val="44"/>
      <w:sz w:val="44"/>
      <w:szCs w:val="20"/>
    </w:rPr>
  </w:style>
  <w:style w:type="paragraph" w:styleId="2">
    <w:name w:val="heading 2"/>
    <w:basedOn w:val="1"/>
    <w:autoRedefine/>
    <w:next w:val="0"/>
    <w:pPr>
      <w:keepNext/>
      <w:keepLines/>
      <w:widowControl w:val="0"/>
      <w:numPr>
        <w:ilvl w:val="1"/>
        <w:numId w:val="10"/>
      </w:numPr>
      <w:tabs>
        <w:tab w:val="clear" w:pos="425"/>
      </w:tabs>
      <w:spacing w:before="260" w:after="260" w:line="415" w:lineRule="auto"/>
      <w:outlineLvl w:val="1"/>
    </w:pPr>
    <w:rPr>
      <w:rFonts w:ascii="Arial" w:eastAsia="黑体" w:hAnsi="Arial"/>
      <w:kern w:val="0"/>
      <w:sz w:val="32"/>
      <w:szCs w:val="20"/>
    </w:rPr>
  </w:style>
  <w:style w:type="paragraph" w:styleId="3">
    <w:name w:val="heading 3"/>
    <w:basedOn w:val="0"/>
    <w:autoRedefine/>
    <w:next w:val="15"/>
    <w:pPr>
      <w:keepNext/>
      <w:keepLines/>
      <w:widowControl w:val="0"/>
      <w:numPr>
        <w:ilvl w:val="2"/>
        <w:numId w:val="10"/>
      </w:numPr>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0"/>
    <w:next w:val="0"/>
    <w:pPr>
      <w:keepNext/>
      <w:widowControl w:val="0"/>
      <w:numPr>
        <w:ilvl w:val="3"/>
        <w:numId w:val="10"/>
      </w:numPr>
      <w:outlineLvl w:val="3"/>
    </w:pPr>
    <w:rPr>
      <w:kern w:val="0"/>
      <w:sz w:val="28"/>
      <w:szCs w:val="20"/>
    </w:rPr>
  </w:style>
  <w:style w:type="paragraph" w:styleId="5">
    <w:name w:val="heading 5"/>
    <w:basedOn w:val="0"/>
    <w:next w:val="0"/>
    <w:pPr>
      <w:keepNext/>
      <w:keepLines/>
      <w:widowControl w:val="0"/>
      <w:numPr>
        <w:ilvl w:val="4"/>
        <w:numId w:val="10"/>
      </w:numPr>
      <w:spacing w:before="280" w:after="290" w:line="377" w:lineRule="auto"/>
      <w:outlineLvl w:val="4"/>
    </w:pPr>
    <w:rPr>
      <w:b/>
      <w:sz w:val="28"/>
      <w:szCs w:val="20"/>
    </w:rPr>
  </w:style>
  <w:style w:type="paragraph" w:styleId="6">
    <w:name w:val="heading 6"/>
    <w:basedOn w:val="0"/>
    <w:autoRedefine/>
    <w:next w:val="0"/>
    <w:pPr>
      <w:keepNext/>
      <w:keepLines/>
      <w:widowControl w:val="0"/>
      <w:numPr>
        <w:ilvl w:val="5"/>
        <w:numId w:val="10"/>
      </w:numPr>
      <w:spacing w:before="240" w:after="64" w:line="319" w:lineRule="auto"/>
      <w:outlineLvl w:val="5"/>
    </w:pPr>
    <w:rPr>
      <w:rFonts w:ascii="Arial" w:eastAsia="黑体" w:hAnsi="Arial"/>
      <w:b/>
      <w:sz w:val="24"/>
      <w:szCs w:val="20"/>
    </w:rPr>
  </w:style>
  <w:style w:type="paragraph" w:styleId="7">
    <w:name w:val="heading 7"/>
    <w:basedOn w:val="0"/>
    <w:autoRedefine/>
    <w:next w:val="0"/>
    <w:pPr>
      <w:keepNext/>
      <w:keepLines/>
      <w:widowControl w:val="0"/>
      <w:numPr>
        <w:ilvl w:val="6"/>
        <w:numId w:val="10"/>
      </w:numPr>
      <w:spacing w:before="240" w:after="64" w:line="319" w:lineRule="auto"/>
      <w:outlineLvl w:val="6"/>
    </w:pPr>
    <w:rPr>
      <w:b/>
      <w:sz w:val="24"/>
      <w:szCs w:val="20"/>
    </w:rPr>
  </w:style>
  <w:style w:type="paragraph" w:styleId="8">
    <w:name w:val="heading 8"/>
    <w:basedOn w:val="0"/>
    <w:autoRedefine/>
    <w:next w:val="0"/>
    <w:pPr>
      <w:keepNext/>
      <w:keepLines/>
      <w:widowControl w:val="0"/>
      <w:numPr>
        <w:ilvl w:val="7"/>
        <w:numId w:val="10"/>
      </w:numPr>
      <w:spacing w:before="240" w:after="64" w:line="319" w:lineRule="auto"/>
      <w:outlineLvl w:val="7"/>
    </w:pPr>
    <w:rPr>
      <w:rFonts w:ascii="Arial" w:eastAsia="黑体" w:hAnsi="Arial"/>
      <w:sz w:val="24"/>
      <w:szCs w:val="20"/>
    </w:rPr>
  </w:style>
  <w:style w:type="paragraph" w:styleId="9">
    <w:name w:val="heading 9"/>
    <w:basedOn w:val="0"/>
    <w:autoRedefine/>
    <w:next w:val="0"/>
    <w:pPr>
      <w:keepNext/>
      <w:keepLines/>
      <w:widowControl w:val="0"/>
      <w:numPr>
        <w:ilvl w:val="8"/>
        <w:numId w:val="10"/>
      </w:numPr>
      <w:spacing w:before="240" w:after="64" w:line="319" w:lineRule="auto"/>
      <w:outlineLvl w:val="8"/>
    </w:pPr>
    <w:rPr>
      <w:rFonts w:ascii="Arial" w:eastAsia="黑体" w:hAnsi="Arial"/>
      <w:szCs w:val="20"/>
    </w:rPr>
  </w:style>
  <w:style w:type="character" w:default="1" w:styleId="10">
    <w:name w:val="Default Paragraph Font"/>
  </w:style>
  <w:style w:type="paragraph" w:styleId="15">
    <w:name w:val="Normal Indent"/>
    <w:basedOn w:val="0"/>
    <w:autoRedefine/>
    <w:pPr>
      <w:autoSpaceDE w:val="0"/>
      <w:autoSpaceDN w:val="0"/>
      <w:adjustRightInd w:val="0"/>
      <w:spacing w:line="315" w:lineRule="atLeast"/>
      <w:ind w:firstLine="420"/>
      <w:jc w:val="left"/>
    </w:pPr>
    <w:rPr>
      <w:rFonts w:ascii="楷体_GB2312" w:eastAsia="楷体_GB2312"/>
      <w:kern w:val="0"/>
      <w:sz w:val="20"/>
      <w:szCs w:val="20"/>
    </w:rPr>
  </w:style>
  <w:style w:type="paragraph" w:styleId="16">
    <w:name w:val="toc 7"/>
    <w:basedOn w:val="0"/>
    <w:autoRedefine/>
    <w:next w:val="0"/>
    <w:pPr>
      <w:ind w:left="1260"/>
      <w:jc w:val="left"/>
    </w:pPr>
    <w:rPr>
      <w:sz w:val="18"/>
      <w:szCs w:val="18"/>
    </w:rPr>
  </w:style>
  <w:style w:type="paragraph" w:styleId="17">
    <w:name w:val="Document Map"/>
    <w:basedOn w:val="0"/>
    <w:autoRedefine/>
    <w:rPr>
      <w:rFonts w:ascii="宋体"/>
      <w:sz w:val="18"/>
      <w:szCs w:val="20"/>
    </w:rPr>
  </w:style>
  <w:style w:type="paragraph" w:styleId="18">
    <w:name w:val="annotation text"/>
    <w:basedOn w:val="0"/>
    <w:autoRedefine/>
    <w:pPr>
      <w:jc w:val="left"/>
    </w:pPr>
    <w:rPr>
      <w:kern w:val="0"/>
      <w:sz w:val="24"/>
      <w:szCs w:val="20"/>
    </w:rPr>
  </w:style>
  <w:style w:type="paragraph" w:styleId="19">
    <w:name w:val="Salutation"/>
    <w:basedOn w:val="0"/>
    <w:autoRedefine/>
    <w:next w:val="0"/>
    <w:rPr>
      <w:sz w:val="24"/>
      <w:szCs w:val="20"/>
    </w:rPr>
  </w:style>
  <w:style w:type="paragraph" w:styleId="20">
    <w:name w:val="Body Text 3"/>
    <w:basedOn w:val="0"/>
    <w:autoRedefine/>
    <w:pPr>
      <w:spacing w:after="120"/>
    </w:pPr>
    <w:rPr>
      <w:kern w:val="0"/>
      <w:sz w:val="16"/>
      <w:szCs w:val="20"/>
    </w:rPr>
  </w:style>
  <w:style w:type="paragraph" w:styleId="21">
    <w:name w:val="Body Text"/>
    <w:basedOn w:val="0"/>
    <w:autoRedefine/>
    <w:next w:val="22"/>
    <w:rPr>
      <w:sz w:val="28"/>
      <w:szCs w:val="20"/>
    </w:rPr>
  </w:style>
  <w:style w:type="paragraph" w:styleId="22">
    <w:name w:val="Body Text First Indent"/>
    <w:basedOn w:val="21"/>
    <w:autoRedefine/>
    <w:next w:val="23"/>
    <w:pPr>
      <w:ind w:firstLineChars="100" w:firstLine="100"/>
    </w:pPr>
    <w:rPr>
      <w:rFonts w:ascii="Calibri" w:hAnsi="Calibri"/>
      <w:sz w:val="22"/>
    </w:rPr>
  </w:style>
  <w:style w:type="paragraph" w:styleId="23">
    <w:name w:val="toc 6"/>
    <w:basedOn w:val="0"/>
    <w:autoRedefine/>
    <w:next w:val="0"/>
    <w:pPr>
      <w:ind w:left="1050"/>
      <w:jc w:val="left"/>
    </w:pPr>
    <w:rPr>
      <w:sz w:val="18"/>
      <w:szCs w:val="18"/>
    </w:rPr>
  </w:style>
  <w:style w:type="paragraph" w:styleId="24">
    <w:name w:val="Body Text Indent"/>
    <w:basedOn w:val="0"/>
    <w:pPr>
      <w:autoSpaceDE w:val="0"/>
      <w:autoSpaceDN w:val="0"/>
      <w:adjustRightInd w:val="0"/>
      <w:spacing w:after="120" w:line="360" w:lineRule="atLeast"/>
      <w:ind w:left="900"/>
    </w:pPr>
    <w:rPr>
      <w:rFonts w:ascii="楷体_GB2312" w:eastAsia="楷体_GB2312"/>
      <w:kern w:val="0"/>
      <w:sz w:val="28"/>
      <w:szCs w:val="20"/>
    </w:rPr>
  </w:style>
  <w:style w:type="paragraph" w:styleId="25">
    <w:name w:val="Block Text"/>
    <w:basedOn w:val="0"/>
    <w:pPr>
      <w:adjustRightInd w:val="0"/>
      <w:snapToGrid w:val="0"/>
      <w:spacing w:line="300" w:lineRule="auto"/>
      <w:ind w:left="958" w:rightChars="-120" w:right="-120"/>
      <w:jc w:val="left"/>
    </w:pPr>
    <w:rPr>
      <w:rFonts w:ascii="Century Gothic" w:hAnsi="Century Gothic"/>
      <w:sz w:val="28"/>
      <w:szCs w:val="20"/>
    </w:rPr>
  </w:style>
  <w:style w:type="paragraph" w:styleId="26">
    <w:name w:val="toc 5"/>
    <w:basedOn w:val="0"/>
    <w:autoRedefine/>
    <w:next w:val="0"/>
    <w:pPr>
      <w:ind w:left="840"/>
      <w:jc w:val="left"/>
    </w:pPr>
    <w:rPr>
      <w:sz w:val="18"/>
      <w:szCs w:val="18"/>
    </w:rPr>
  </w:style>
  <w:style w:type="paragraph" w:styleId="27">
    <w:name w:val="toc 3"/>
    <w:basedOn w:val="0"/>
    <w:autoRedefine/>
    <w:next w:val="0"/>
    <w:pPr>
      <w:ind w:left="420"/>
      <w:jc w:val="left"/>
    </w:pPr>
    <w:rPr>
      <w:i/>
      <w:iCs/>
      <w:sz w:val="20"/>
      <w:szCs w:val="20"/>
    </w:rPr>
  </w:style>
  <w:style w:type="paragraph" w:styleId="28">
    <w:name w:val="Plain Text"/>
    <w:basedOn w:val="0"/>
    <w:autoRedefine/>
    <w:rPr>
      <w:rFonts w:ascii="宋体"/>
      <w:kern w:val="0"/>
      <w:sz w:val="20"/>
      <w:szCs w:val="20"/>
    </w:rPr>
  </w:style>
  <w:style w:type="paragraph" w:styleId="29">
    <w:name w:val="toc 8"/>
    <w:basedOn w:val="0"/>
    <w:autoRedefine/>
    <w:next w:val="0"/>
    <w:pPr>
      <w:ind w:left="1470"/>
      <w:jc w:val="left"/>
    </w:pPr>
    <w:rPr>
      <w:sz w:val="18"/>
      <w:szCs w:val="18"/>
    </w:rPr>
  </w:style>
  <w:style w:type="paragraph" w:styleId="30">
    <w:name w:val="Date"/>
    <w:basedOn w:val="0"/>
    <w:autoRedefine/>
    <w:next w:val="0"/>
    <w:pPr>
      <w:ind w:leftChars="2500" w:left="2500"/>
    </w:pPr>
    <w:rPr>
      <w:szCs w:val="20"/>
    </w:rPr>
  </w:style>
  <w:style w:type="paragraph" w:styleId="31">
    <w:name w:val="Body Text Indent 2"/>
    <w:basedOn w:val="0"/>
    <w:autoRedefine/>
    <w:pPr>
      <w:spacing w:line="480" w:lineRule="auto"/>
      <w:ind w:firstLineChars="200" w:firstLine="200"/>
    </w:pPr>
    <w:rPr>
      <w:rFonts w:ascii="仿宋_GB2312" w:eastAsia="仿宋_GB2312"/>
      <w:sz w:val="24"/>
      <w:szCs w:val="20"/>
    </w:rPr>
  </w:style>
  <w:style w:type="paragraph" w:styleId="32">
    <w:name w:val="Balloon Text"/>
    <w:basedOn w:val="0"/>
    <w:autoRedefine/>
    <w:rPr>
      <w:sz w:val="18"/>
      <w:szCs w:val="20"/>
    </w:rPr>
  </w:style>
  <w:style w:type="paragraph" w:styleId="33">
    <w:name w:val="footer"/>
    <w:basedOn w:val="0"/>
    <w:autoRedefine/>
    <w:pPr>
      <w:tabs>
        <w:tab w:val="center" w:pos="4153"/>
        <w:tab w:val="right" w:pos="8306"/>
      </w:tabs>
      <w:snapToGrid w:val="0"/>
      <w:jc w:val="left"/>
    </w:pPr>
    <w:rPr>
      <w:sz w:val="18"/>
      <w:szCs w:val="20"/>
    </w:rPr>
  </w:style>
  <w:style w:type="paragraph" w:styleId="34">
    <w:name w:val="header"/>
    <w:basedOn w:val="0"/>
    <w:autoRedefine/>
    <w:pPr>
      <w:pBdr>
        <w:bottom w:val="single" w:sz="6" w:space="1" w:color="auto"/>
      </w:pBdr>
      <w:tabs>
        <w:tab w:val="center" w:pos="4153"/>
        <w:tab w:val="right" w:pos="8306"/>
      </w:tabs>
      <w:snapToGrid w:val="0"/>
      <w:jc w:val="center"/>
    </w:pPr>
    <w:rPr>
      <w:sz w:val="18"/>
      <w:szCs w:val="20"/>
    </w:rPr>
  </w:style>
  <w:style w:type="paragraph" w:styleId="35">
    <w:name w:val="toc 1"/>
    <w:basedOn w:val="0"/>
    <w:autoRedefine/>
    <w:next w:val="0"/>
    <w:pPr>
      <w:spacing w:before="120" w:after="120"/>
      <w:jc w:val="left"/>
    </w:pPr>
    <w:rPr>
      <w:b/>
      <w:bCs/>
      <w:caps/>
      <w:smallCaps w:val="0"/>
      <w:sz w:val="20"/>
      <w:szCs w:val="20"/>
    </w:rPr>
  </w:style>
  <w:style w:type="paragraph" w:styleId="36">
    <w:name w:val="toc 4"/>
    <w:basedOn w:val="0"/>
    <w:autoRedefine/>
    <w:next w:val="0"/>
    <w:pPr>
      <w:ind w:left="630"/>
      <w:jc w:val="left"/>
    </w:pPr>
    <w:rPr>
      <w:sz w:val="18"/>
      <w:szCs w:val="18"/>
    </w:rPr>
  </w:style>
  <w:style w:type="paragraph" w:styleId="37">
    <w:name w:val="Subtitle"/>
    <w:basedOn w:val="0"/>
    <w:autoRedefine/>
    <w:next w:val="0"/>
    <w:pPr>
      <w:spacing w:before="240" w:after="60" w:line="312" w:lineRule="auto"/>
      <w:jc w:val="center"/>
      <w:outlineLvl w:val="1"/>
    </w:pPr>
    <w:rPr>
      <w:rFonts w:ascii="宋体"/>
      <w:kern w:val="0"/>
      <w:sz w:val="18"/>
      <w:szCs w:val="20"/>
    </w:rPr>
  </w:style>
  <w:style w:type="paragraph" w:styleId="38">
    <w:name w:val="List"/>
    <w:basedOn w:val="0"/>
    <w:pPr>
      <w:ind w:left="283" w:hanging="283"/>
      <w:contextualSpacing/>
    </w:pPr>
  </w:style>
  <w:style w:type="paragraph" w:styleId="39">
    <w:name w:val="footnote text"/>
    <w:basedOn w:val="0"/>
    <w:autoRedefine/>
    <w:rPr>
      <w:sz w:val="20"/>
      <w:szCs w:val="20"/>
    </w:rPr>
  </w:style>
  <w:style w:type="paragraph" w:styleId="40">
    <w:name w:val="Body Text Indent 3"/>
    <w:basedOn w:val="0"/>
    <w:autoRedefine/>
    <w:pPr>
      <w:spacing w:after="120" w:line="360" w:lineRule="atLeast"/>
      <w:ind w:firstLineChars="300" w:firstLine="300"/>
    </w:pPr>
    <w:rPr>
      <w:sz w:val="24"/>
      <w:szCs w:val="20"/>
    </w:rPr>
  </w:style>
  <w:style w:type="paragraph" w:styleId="41">
    <w:name w:val="toc 2"/>
    <w:basedOn w:val="0"/>
    <w:autoRedefine/>
    <w:next w:val="0"/>
    <w:pPr>
      <w:ind w:left="210"/>
      <w:jc w:val="left"/>
    </w:pPr>
    <w:rPr>
      <w:caps w:val="0"/>
      <w:smallCaps/>
      <w:sz w:val="20"/>
      <w:szCs w:val="20"/>
    </w:rPr>
  </w:style>
  <w:style w:type="paragraph" w:styleId="42">
    <w:name w:val="toc 9"/>
    <w:basedOn w:val="0"/>
    <w:autoRedefine/>
    <w:next w:val="0"/>
    <w:pPr>
      <w:ind w:left="1680"/>
      <w:jc w:val="left"/>
    </w:pPr>
    <w:rPr>
      <w:sz w:val="18"/>
      <w:szCs w:val="18"/>
    </w:rPr>
  </w:style>
  <w:style w:type="paragraph" w:styleId="43">
    <w:name w:val="Body Text 2"/>
    <w:basedOn w:val="0"/>
    <w:autoRedefine/>
    <w:pPr>
      <w:spacing w:line="120" w:lineRule="atLeast"/>
    </w:pPr>
    <w:rPr>
      <w:sz w:val="24"/>
      <w:szCs w:val="20"/>
    </w:rPr>
  </w:style>
  <w:style w:type="paragraph" w:styleId="44">
    <w:name w:val="Normal (Web)"/>
    <w:basedOn w:val="0"/>
    <w:autoRedefine/>
    <w:pPr>
      <w:widowControl/>
      <w:spacing w:before="100" w:beforeAutospacing="1" w:after="100" w:afterAutospacing="1"/>
      <w:jc w:val="left"/>
    </w:pPr>
    <w:rPr>
      <w:rFonts w:ascii="宋体" w:cs="宋体"/>
      <w:kern w:val="0"/>
      <w:sz w:val="24"/>
    </w:rPr>
  </w:style>
  <w:style w:type="paragraph" w:styleId="45">
    <w:name w:val="Title"/>
    <w:basedOn w:val="0"/>
    <w:autoRedefine/>
    <w:next w:val="0"/>
    <w:pPr>
      <w:spacing w:before="240" w:after="60"/>
      <w:jc w:val="center"/>
      <w:outlineLvl w:val="0"/>
    </w:pPr>
    <w:rPr>
      <w:rFonts w:ascii="Cambria" w:hAnsi="Cambria"/>
      <w:b/>
      <w:sz w:val="32"/>
      <w:szCs w:val="20"/>
    </w:rPr>
  </w:style>
  <w:style w:type="paragraph" w:styleId="46">
    <w:name w:val="annotation subject"/>
    <w:basedOn w:val="18"/>
    <w:autoRedefine/>
    <w:next w:val="18"/>
    <w:rPr>
      <w:b/>
    </w:rPr>
  </w:style>
  <w:style w:type="paragraph" w:styleId="47">
    <w:name w:val="Body Text First Indent 2"/>
    <w:basedOn w:val="24"/>
    <w:autoRedefine/>
    <w:next w:val="0"/>
    <w:pPr>
      <w:autoSpaceDE/>
      <w:autoSpaceDN/>
      <w:adjustRightInd/>
      <w:spacing w:line="240" w:lineRule="auto"/>
      <w:ind w:leftChars="200" w:left="200" w:firstLineChars="200" w:firstLine="200"/>
    </w:pPr>
    <w:rPr>
      <w:sz w:val="24"/>
    </w:rPr>
  </w:style>
  <w:style w:type="character" w:styleId="48">
    <w:name w:val="Strong"/>
    <w:autoRedefine/>
    <w:rPr>
      <w:rFonts w:cs="Times New Roman"/>
      <w:b/>
    </w:rPr>
  </w:style>
  <w:style w:type="character" w:styleId="49">
    <w:name w:val="page number"/>
    <w:autoRedefine/>
    <w:rPr>
      <w:rFonts w:cs="Times New Roman"/>
    </w:rPr>
  </w:style>
  <w:style w:type="character" w:styleId="50">
    <w:name w:val="Hyperlink"/>
    <w:autoRedefine/>
    <w:rPr>
      <w:rFonts w:cs="Times New Roman"/>
      <w:color w:val="0000FF"/>
      <w:u w:val="single"/>
    </w:rPr>
  </w:style>
  <w:style w:type="character" w:styleId="51">
    <w:name w:val="annotation reference"/>
    <w:autoRedefine/>
    <w:rPr>
      <w:rFonts w:cs="Times New Roman"/>
      <w:sz w:val="21"/>
    </w:rPr>
  </w:style>
  <w:style w:type="paragraph" w:customStyle="1" w:styleId="52">
    <w:name w:val="Default"/>
    <w:autoRedefine/>
    <w:pPr>
      <w:widowControl w:val="0"/>
      <w:autoSpaceDE w:val="0"/>
      <w:autoSpaceDN w:val="0"/>
      <w:adjustRightInd w:val="0"/>
    </w:pPr>
    <w:rPr>
      <w:rFonts w:ascii="Times New Roman" w:eastAsia="宋体" w:cs="Times New Roman" w:hAnsi="Times New Roman"/>
      <w:color w:val="000000"/>
      <w:sz w:val="24"/>
      <w:szCs w:val="24"/>
      <w:lang w:val="en-US" w:eastAsia="zh-CN" w:bidi="ar-SA"/>
    </w:rPr>
  </w:style>
  <w:style w:type="character" w:customStyle="1" w:styleId="53">
    <w:name w:val="纯文本 Char Char Char Char Char Char Char Char Char Char Char Char Char Char1"/>
    <w:autoRedefine/>
    <w:rPr>
      <w:rFonts w:ascii="Century Gothic" w:eastAsia="宋体" w:hAnsi="Century Gothic"/>
      <w:kern w:val="2"/>
      <w:sz w:val="21"/>
      <w:lang w:val="en-US" w:eastAsia="zh-CN"/>
    </w:rPr>
  </w:style>
  <w:style w:type="character" w:customStyle="1" w:styleId="54">
    <w:name w:val="bookmark-item uuid-1536325460878 code-23001"/>
    <w:autoRedefine/>
  </w:style>
  <w:style w:type="paragraph" w:customStyle="1" w:styleId="55">
    <w:name w:val="文档结构图1"/>
    <w:basedOn w:val="0"/>
    <w:autoRedefine/>
    <w:rPr>
      <w:rFonts w:ascii="宋体"/>
      <w:kern w:val="0"/>
      <w:sz w:val="18"/>
      <w:szCs w:val="20"/>
    </w:rPr>
  </w:style>
  <w:style w:type="paragraph" w:customStyle="1" w:styleId="56">
    <w:name w:val="列出段落1"/>
    <w:basedOn w:val="0"/>
    <w:autoRedefine/>
    <w:pPr>
      <w:ind w:firstLineChars="200" w:firstLine="200"/>
    </w:pPr>
    <w:rPr>
      <w:kern w:val="0"/>
      <w:sz w:val="20"/>
      <w:szCs w:val="20"/>
    </w:rPr>
  </w:style>
  <w:style w:type="paragraph" w:customStyle="1" w:styleId="57">
    <w:name w:val="内文"/>
    <w:autoRedefine/>
    <w:pPr>
      <w:adjustRightInd w:val="0"/>
      <w:snapToGrid w:val="0"/>
      <w:spacing w:line="400" w:lineRule="exact"/>
      <w:ind w:firstLineChars="200" w:firstLine="200"/>
      <w:jc w:val="both"/>
    </w:pPr>
    <w:rPr>
      <w:rFonts w:ascii="Arial" w:eastAsia="宋体" w:cs="Times New Roman" w:hAnsi="Arial"/>
      <w:kern w:val="2"/>
      <w:sz w:val="21"/>
      <w:szCs w:val="22"/>
      <w:lang w:val="en-US" w:eastAsia="zh-CN" w:bidi="ar-SA"/>
    </w:rPr>
  </w:style>
  <w:style w:type="paragraph" w:customStyle="1" w:styleId="58">
    <w:name w:val="明显引用1"/>
    <w:basedOn w:val="0"/>
    <w:autoRedefine/>
    <w:next w:val="0"/>
    <w:pPr>
      <w:pBdr>
        <w:bottom w:val="single" w:sz="4" w:space="4" w:color="4F81BD"/>
      </w:pBdr>
      <w:spacing w:before="200" w:after="280"/>
      <w:ind w:left="936" w:right="936"/>
    </w:pPr>
    <w:rPr>
      <w:b/>
      <w:i/>
      <w:color w:val="4F81BD"/>
      <w:kern w:val="0"/>
      <w:sz w:val="22"/>
      <w:szCs w:val="20"/>
    </w:rPr>
  </w:style>
  <w:style w:type="paragraph" w:customStyle="1" w:styleId="59">
    <w:name w:val="标题5"/>
    <w:basedOn w:val="3"/>
    <w:autoRedefine/>
    <w:pPr>
      <w:autoSpaceDE/>
      <w:autoSpaceDN/>
      <w:adjustRightInd/>
      <w:spacing w:before="260" w:after="260" w:line="413" w:lineRule="auto"/>
    </w:pPr>
    <w:rPr>
      <w:rFonts w:ascii="Arial" w:eastAsia="宋体" w:hAnsi="Arial"/>
      <w:b/>
      <w:sz w:val="32"/>
    </w:rPr>
  </w:style>
  <w:style w:type="paragraph" w:customStyle="1" w:styleId="60">
    <w:name w:val="引用1"/>
    <w:basedOn w:val="0"/>
    <w:autoRedefine/>
    <w:next w:val="0"/>
    <w:rPr>
      <w:i/>
      <w:color w:val="000000"/>
      <w:kern w:val="0"/>
      <w:sz w:val="22"/>
      <w:szCs w:val="20"/>
    </w:rPr>
  </w:style>
  <w:style w:type="paragraph" w:customStyle="1" w:styleId="61">
    <w:name w:val="_Style 3"/>
    <w:basedOn w:val="0"/>
    <w:autoRedefine/>
    <w:pPr>
      <w:ind w:firstLineChars="200" w:firstLine="200"/>
    </w:pPr>
    <w:rPr>
      <w:rFonts w:ascii="Calibri" w:hAnsi="Calibri"/>
      <w:szCs w:val="22"/>
    </w:rPr>
  </w:style>
  <w:style w:type="paragraph" w:customStyle="1" w:styleId="62">
    <w:name w:val="_Style 2"/>
    <w:basedOn w:val="0"/>
    <w:autoRedefine/>
    <w:pPr>
      <w:widowControl/>
      <w:snapToGrid w:val="0"/>
      <w:spacing w:line="360" w:lineRule="auto"/>
      <w:ind w:firstLine="420"/>
    </w:pPr>
    <w:rPr>
      <w:rFonts w:ascii="Arial" w:hAnsi="Arial"/>
      <w:kern w:val="0"/>
      <w:sz w:val="24"/>
      <w:szCs w:val="20"/>
    </w:rPr>
  </w:style>
  <w:style w:type="paragraph" w:customStyle="1" w:styleId="63">
    <w:name w:val="段"/>
    <w:autoRedefine/>
    <w:pPr>
      <w:autoSpaceDE w:val="0"/>
      <w:autoSpaceDN w:val="0"/>
      <w:ind w:firstLineChars="200" w:firstLine="200"/>
      <w:jc w:val="both"/>
    </w:pPr>
    <w:rPr>
      <w:rFonts w:ascii="宋体" w:eastAsia="宋体" w:cs="Times New Roman"/>
      <w:sz w:val="21"/>
      <w:szCs w:val="22"/>
      <w:lang w:val="en-US" w:eastAsia="zh-CN" w:bidi="ar-SA"/>
    </w:rPr>
  </w:style>
  <w:style w:type="paragraph" w:customStyle="1" w:styleId="64">
    <w:name w:val="正文2"/>
    <w:basedOn w:val="0"/>
    <w:autoRedefine/>
    <w:pPr>
      <w:spacing w:before="156" w:line="360" w:lineRule="auto"/>
      <w:ind w:firstLineChars="200" w:firstLine="200"/>
    </w:pPr>
    <w:rPr>
      <w:sz w:val="24"/>
    </w:rPr>
  </w:style>
  <w:style w:type="paragraph" w:customStyle="1" w:styleId="65">
    <w:name w:val="List Paragraph1"/>
    <w:basedOn w:val="0"/>
    <w:autoRedefine/>
    <w:pPr>
      <w:ind w:firstLineChars="200" w:firstLine="200"/>
    </w:pPr>
    <w:rPr>
      <w:rFonts w:ascii="Calibri" w:hAnsi="Calibri"/>
      <w:szCs w:val="22"/>
    </w:rPr>
  </w:style>
  <w:style w:type="paragraph" w:customStyle="1" w:styleId="66">
    <w:name w:val="[Normal]"/>
    <w:autoRedefine/>
    <w:rPr>
      <w:rFonts w:ascii="宋体" w:eastAsia="宋体" w:cs="Times New Roman"/>
      <w:sz w:val="24"/>
      <w:szCs w:val="22"/>
      <w:lang w:val="zh-CN" w:eastAsia="zh-CN" w:bidi="ar-SA"/>
    </w:rPr>
  </w:style>
  <w:style w:type="character" w:customStyle="1" w:styleId="67">
    <w:name w:val="标题 Char3"/>
    <w:autoRedefine/>
    <w:rPr>
      <w:b/>
      <w:sz w:val="24"/>
      <w:lang w:val="en-GB"/>
    </w:rPr>
  </w:style>
  <w:style w:type="paragraph" w:customStyle="1" w:styleId="68">
    <w:name w:val="默认段落字体 Para Char Char Char Char Char Char Char Char Char1 Char Char Char Char"/>
    <w:basedOn w:val="0"/>
    <w:autoRedefine/>
    <w:rPr>
      <w:rFonts w:ascii="Tahoma" w:hAnsi="Tahoma"/>
      <w:sz w:val="24"/>
      <w:szCs w:val="20"/>
    </w:rPr>
  </w:style>
  <w:style w:type="paragraph" w:customStyle="1" w:styleId="69">
    <w:name w:val="表格内容"/>
    <w:basedOn w:val="0"/>
    <w:autoRedefine/>
    <w:pPr>
      <w:jc w:val="center"/>
    </w:pPr>
    <w:rPr>
      <w:rFonts w:ascii="Calibri" w:eastAsia="Times New Roman" w:hAnsi="Calibri"/>
      <w:kern w:val="0"/>
      <w:sz w:val="20"/>
      <w:szCs w:val="20"/>
    </w:rPr>
  </w:style>
  <w:style w:type="character" w:customStyle="1" w:styleId="70">
    <w:name w:val="纯文本 Char1"/>
    <w:autoRedefine/>
    <w:rPr>
      <w:kern w:val="2"/>
      <w:sz w:val="21"/>
    </w:rPr>
  </w:style>
  <w:style w:type="character" w:customStyle="1" w:styleId="71">
    <w:name w:val="Char Char5"/>
    <w:autoRedefine/>
    <w:rPr>
      <w:rFonts w:eastAsia="宋体"/>
      <w:kern w:val="2"/>
      <w:sz w:val="28"/>
      <w:lang w:val="en-US" w:eastAsia="zh-CN"/>
    </w:rPr>
  </w:style>
  <w:style w:type="character" w:customStyle="1" w:styleId="72">
    <w:name w:val="Char Char8"/>
    <w:autoRedefine/>
    <w:rPr>
      <w:rFonts w:eastAsia="宋体"/>
      <w:sz w:val="24"/>
      <w:lang w:val="en-US" w:eastAsia="zh-CN"/>
    </w:rPr>
  </w:style>
  <w:style w:type="character" w:customStyle="1" w:styleId="73">
    <w:name w:val="纯文本 Char"/>
    <w:autoRedefine/>
    <w:rPr>
      <w:rFonts w:ascii="宋体"/>
      <w:kern w:val="2"/>
      <w:sz w:val="24"/>
    </w:rPr>
  </w:style>
  <w:style w:type="character" w:customStyle="1" w:styleId="74">
    <w:name w:val="font01"/>
    <w:autoRedefine/>
    <w:rPr>
      <w:rFonts w:ascii="Wingdings 2" w:hAnsi="Wingdings 2"/>
      <w:color w:val="000000"/>
      <w:sz w:val="18"/>
      <w:u w:val="none"/>
    </w:rPr>
  </w:style>
  <w:style w:type="character" w:customStyle="1" w:styleId="75">
    <w:name w:val="Char Char10"/>
    <w:autoRedefine/>
    <w:rPr>
      <w:rFonts w:ascii="宋体"/>
      <w:kern w:val="2"/>
      <w:sz w:val="24"/>
    </w:rPr>
  </w:style>
  <w:style w:type="character" w:customStyle="1" w:styleId="76">
    <w:name w:val="Char Char11"/>
    <w:autoRedefine/>
    <w:rPr>
      <w:rFonts w:ascii="Calibri" w:eastAsia="Times New Roman" w:hAnsi="Calibri"/>
      <w:kern w:val="2"/>
      <w:sz w:val="18"/>
    </w:rPr>
  </w:style>
  <w:style w:type="character" w:customStyle="1" w:styleId="77">
    <w:name w:val="纯文本 Char Char Char Char Char Char Char Char Char Char Char Char Char Char3"/>
    <w:autoRedefine/>
    <w:rPr>
      <w:rFonts w:ascii="宋体"/>
      <w:sz w:val="18"/>
    </w:rPr>
  </w:style>
  <w:style w:type="paragraph" w:customStyle="1" w:styleId="78">
    <w:name w:val="Body Text 21"/>
    <w:basedOn w:val="0"/>
    <w:autoRedefine/>
    <w:pPr>
      <w:adjustRightInd w:val="0"/>
      <w:spacing w:line="300" w:lineRule="auto"/>
      <w:jc w:val="center"/>
    </w:pPr>
    <w:rPr>
      <w:rFonts w:ascii="宋体"/>
      <w:kern w:val="0"/>
      <w:sz w:val="24"/>
      <w:szCs w:val="20"/>
    </w:rPr>
  </w:style>
  <w:style w:type="character" w:customStyle="1" w:styleId="79">
    <w:name w:val="页脚 Char"/>
    <w:autoRedefine/>
    <w:rPr>
      <w:rFonts w:eastAsia="Times New Roman"/>
      <w:kern w:val="2"/>
      <w:sz w:val="18"/>
      <w:lang w:val="en-US" w:eastAsia="zh-CN"/>
    </w:rPr>
  </w:style>
  <w:style w:type="paragraph" w:customStyle="1" w:styleId="80">
    <w:name w:val="列出段落2"/>
    <w:basedOn w:val="0"/>
    <w:autoRedefine/>
    <w:pPr>
      <w:ind w:firstLineChars="200" w:firstLine="200"/>
    </w:pPr>
  </w:style>
  <w:style w:type="paragraph" w:customStyle="1" w:styleId="81">
    <w:name w:val="List Paragraph"/>
    <w:basedOn w:val="0"/>
    <w:autoRedefine/>
    <w:pPr>
      <w:ind w:firstLineChars="200" w:firstLine="200"/>
    </w:pPr>
  </w:style>
  <w:style w:type="character" w:customStyle="1" w:styleId="82">
    <w:name w:val="正文文本缩进 Char"/>
    <w:autoRedefine/>
    <w:rPr>
      <w:rFonts w:ascii="Century Gothic" w:hAnsi="Century Gothic"/>
      <w:kern w:val="2"/>
      <w:sz w:val="24"/>
      <w:lang w:val="en-US" w:eastAsia="zh-CN"/>
    </w:rPr>
  </w:style>
  <w:style w:type="paragraph" w:customStyle="1" w:styleId="83">
    <w:name w:val="xl35"/>
    <w:basedOn w:val="0"/>
    <w:autoRedefine/>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Narrow" w:eastAsia="Times New Roman" w:cs="Century Gothic" w:hAnsi="Arial Narrow"/>
      <w:kern w:val="0"/>
      <w:sz w:val="24"/>
    </w:rPr>
  </w:style>
  <w:style w:type="character" w:customStyle="1" w:styleId="84">
    <w:name w:val="Char Char101"/>
    <w:autoRedefine/>
    <w:rPr>
      <w:rFonts w:eastAsia="宋体"/>
      <w:snapToGrid w:val="0"/>
      <w:sz w:val="18"/>
      <w:lang w:val="en-US" w:eastAsia="zh-CN"/>
    </w:rPr>
  </w:style>
  <w:style w:type="paragraph" w:customStyle="1" w:styleId="85">
    <w:name w:val="列出段落3"/>
    <w:basedOn w:val="0"/>
    <w:autoRedefine/>
    <w:pPr>
      <w:ind w:firstLineChars="200" w:firstLine="200"/>
    </w:pPr>
    <w:rPr>
      <w:rFonts w:ascii="Calibri" w:hAnsi="Calibri"/>
      <w:szCs w:val="20"/>
    </w:rPr>
  </w:style>
  <w:style w:type="paragraph" w:customStyle="1" w:styleId="86">
    <w:name w:val="Char"/>
    <w:basedOn w:val="0"/>
    <w:autoRedefine/>
    <w:rPr>
      <w:kern w:val="0"/>
      <w:sz w:val="18"/>
      <w:szCs w:val="20"/>
    </w:rPr>
  </w:style>
  <w:style w:type="paragraph" w:customStyle="1" w:styleId="87">
    <w:name w:val="msolistparagraph"/>
    <w:basedOn w:val="0"/>
    <w:autoRedefine/>
    <w:pPr>
      <w:ind w:firstLineChars="200" w:firstLine="200"/>
    </w:pPr>
  </w:style>
  <w:style w:type="character" w:customStyle="1" w:styleId="88">
    <w:name w:val="hps"/>
    <w:autoRedefine/>
  </w:style>
  <w:style w:type="character" w:customStyle="1" w:styleId="89">
    <w:name w:val="short_text"/>
    <w:autoRedefine/>
  </w:style>
  <w:style w:type="character" w:customStyle="1" w:styleId="90">
    <w:name w:val="wbtr_mn1"/>
    <w:autoRedefine/>
    <w:rPr>
      <w:rFonts w:ascii="Arial" w:hAnsi="Arial"/>
      <w:sz w:val="24"/>
    </w:rPr>
  </w:style>
  <w:style w:type="paragraph" w:customStyle="1" w:styleId="91">
    <w:name w:val="表内文字"/>
    <w:basedOn w:val="0"/>
    <w:autoRedefine/>
    <w:pPr>
      <w:tabs>
        <w:tab w:val="left" w:pos="1418"/>
      </w:tabs>
      <w:spacing w:line="360" w:lineRule="auto"/>
      <w:jc w:val="center"/>
    </w:pPr>
    <w:rPr>
      <w:rFonts w:ascii="仿宋_GB2312" w:eastAsia="仿宋_GB2312"/>
      <w:spacing w:val="-20"/>
      <w:kern w:val="0"/>
      <w:sz w:val="24"/>
    </w:rPr>
  </w:style>
  <w:style w:type="character" w:customStyle="1" w:styleId="92">
    <w:name w:val="fontstyle01"/>
    <w:autoRedefine/>
    <w:rPr>
      <w:rFonts w:ascii="宋体" w:eastAsia="宋体"/>
      <w:color w:val="000000"/>
      <w:sz w:val="20"/>
    </w:rPr>
  </w:style>
  <w:style w:type="character" w:customStyle="1" w:styleId="93">
    <w:name w:val="NormalCharacter"/>
    <w:autoRedefine/>
  </w:style>
  <w:style w:type="paragraph" w:customStyle="1" w:styleId="94">
    <w:name w:val="font5"/>
    <w:basedOn w:val="0"/>
    <w:autoRedefine/>
    <w:pPr>
      <w:widowControl/>
      <w:spacing w:before="100" w:beforeAutospacing="1" w:after="100" w:afterAutospacing="1"/>
      <w:jc w:val="left"/>
    </w:pPr>
    <w:rPr>
      <w:rFonts w:ascii="宋体" w:cs="宋体"/>
      <w:kern w:val="0"/>
      <w:sz w:val="18"/>
      <w:szCs w:val="18"/>
    </w:rPr>
  </w:style>
  <w:style w:type="character" w:customStyle="1" w:styleId="95">
    <w:name w:val="标题 1 Char Char"/>
    <w:autoRedefine/>
    <w:rPr>
      <w:rFonts w:eastAsia="宋体"/>
      <w:b/>
      <w:spacing w:val="-2"/>
      <w:sz w:val="24"/>
      <w:lang w:val="en-US" w:eastAsia="zh-CN" w:bidi="ar-SA"/>
    </w:rPr>
  </w:style>
  <w:style w:type="paragraph" w:customStyle="1" w:styleId="96">
    <w:name w:val="修订1"/>
    <w:autoRedefine/>
    <w:rPr>
      <w:rFonts w:ascii="Times New Roman" w:eastAsia="宋体" w:cs="Times New Roman" w:hAnsi="Times New Roman"/>
      <w:kern w:val="2"/>
      <w:sz w:val="21"/>
      <w:szCs w:val="24"/>
      <w:lang w:val="en-US" w:eastAsia="zh-CN" w:bidi="ar-SA"/>
    </w:rPr>
  </w:style>
  <w:style w:type="paragraph" w:customStyle="1" w:styleId="97">
    <w:name w:val="タイトル:  1-1"/>
    <w:basedOn w:val="0"/>
    <w:autoRedefine/>
    <w:pPr>
      <w:adjustRightInd w:val="0"/>
      <w:spacing w:line="240" w:lineRule="atLeast"/>
      <w:ind w:left="709" w:hanging="709"/>
      <w:jc w:val="left"/>
      <w:textAlignment w:val="baseline"/>
    </w:pPr>
    <w:rPr>
      <w:rFonts w:ascii="Courier New" w:eastAsia="Mincho" w:hAnsi="Courier New"/>
      <w:b/>
      <w:kern w:val="0"/>
      <w:sz w:val="24"/>
      <w:szCs w:val="20"/>
      <w:lang w:eastAsia="ja-JP"/>
    </w:rPr>
  </w:style>
  <w:style w:type="paragraph" w:customStyle="1" w:styleId="98">
    <w:name w:val="列表段落1"/>
    <w:basedOn w:val="0"/>
    <w:autoRedefine/>
    <w:pPr>
      <w:ind w:firstLineChars="200" w:firstLine="200"/>
    </w:pPr>
    <w:rPr>
      <w:rFonts w:ascii="Calibri" w:cs="Calibri" w:hAnsi="Calibri"/>
      <w:szCs w:val="21"/>
    </w:rPr>
  </w:style>
  <w:style w:type="paragraph" w:customStyle="1" w:styleId="99">
    <w:name w:val="纯文本1"/>
    <w:basedOn w:val="0"/>
    <w:autoRedefine/>
    <w:pPr>
      <w:adjustRightInd w:val="0"/>
      <w:textAlignment w:val="baseline"/>
    </w:pPr>
    <w:rPr>
      <w:rFonts w:ascii="宋体" w:eastAsia="楷体_GB2312" w:hAnsi="宋体"/>
      <w:sz w:val="26"/>
      <w:szCs w:val="20"/>
    </w:rPr>
  </w:style>
  <w:style w:type="paragraph" w:customStyle="1" w:styleId="100">
    <w:name w:val="样式1"/>
    <w:basedOn w:val="0"/>
    <w:pPr>
      <w:spacing w:line="360" w:lineRule="exact"/>
      <w:ind w:firstLineChars="200" w:firstLine="200"/>
    </w:pPr>
    <w:rPr>
      <w:rFonts w:ascii="Arial" w:eastAsia="宋体" w:cs="Times New Roman" w:hAnsi="Arial"/>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header" Target="header1.xml"/><Relationship Id="rId4" Type="http://schemas.openxmlformats.org/officeDocument/2006/relationships/footer" Target="footer2.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footer" Target="footer9.xml"/><Relationship Id="rId14" Type="http://schemas.openxmlformats.org/officeDocument/2006/relationships/header" Target="header4.xml"/><Relationship Id="rId15" Type="http://schemas.openxmlformats.org/officeDocument/2006/relationships/footer" Target="footer10.xml"/><Relationship Id="rId16" Type="http://schemas.openxmlformats.org/officeDocument/2006/relationships/footer" Target="footer11.xml"/><Relationship Id="rId17" Type="http://schemas.openxmlformats.org/officeDocument/2006/relationships/styles" Target="styles.xml"/><Relationship Id="rId18" Type="http://schemas.openxmlformats.org/officeDocument/2006/relationships/numbering" Target="numbering.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72</Pages>
  <Words>34717</Words>
  <Characters>37283</Characters>
  <Lines>2303</Lines>
  <Paragraphs>1266</Paragraphs>
  <CharactersWithSpaces>38886</CharactersWithSpaces>
  <Company>微软中国</Company>
</Properties>
</file>

<file path=docProps/core.xml><?xml version="1.0" encoding="utf-8"?>
<cp:coreProperties xmlns:cp="http://schemas.openxmlformats.org/package/2006/metadata/core-properties" xmlns:dc="http://purl.org/dc/elements/1.1/" xmlns:dcterms="http://purl.org/dc/terms/" xmlns:xsi="http://www.w3.org/2001/XMLSchema-instance">
  <dc:title>浙江国际招投标有限公司</dc:title>
  <dc:creator>谢凯枫</dc:creator>
  <cp:keywords>浙江国际</cp:keywords>
  <cp:lastModifiedBy>蔡嘉依</cp:lastModifiedBy>
  <cp:revision>112</cp:revision>
  <cp:lastPrinted>2025-09-15T04:50:00Z</cp:lastPrinted>
  <dcterms:created xsi:type="dcterms:W3CDTF">2022-06-14T11:46:00Z</dcterms:created>
  <dcterms:modified xsi:type="dcterms:W3CDTF">2025-10-23T07:30:47Z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ICV">
    <vt:lpwstr>5B1058C3F96C479BA095BB83932431FC_13</vt:lpwstr>
  </property>
  <property fmtid="{D5CDD505-2E9C-101B-9397-08002B2CF9AE}" pid="4" name="KSOTemplateDocerSaveRecord">
    <vt:lpwstr>eyJoZGlkIjoiYzI2NjZlYzliOTZlMzhmN2QyODMxMjQ1OWRkMjExZDIiLCJ1c2VySWQiOiI4MDU0OTMyMTIifQ==</vt:lpwstr>
  </property>
</Properties>
</file>