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540" w:lineRule="atLeast"/>
        <w:ind w:left="0" w:right="0"/>
        <w:jc w:val="center"/>
        <w:textAlignment w:val="baseline"/>
        <w:rPr>
          <w:b/>
          <w:color w:val="383940"/>
          <w:sz w:val="39"/>
          <w:szCs w:val="39"/>
        </w:rPr>
      </w:pPr>
      <w:r>
        <w:rPr>
          <w:b/>
          <w:i w:val="0"/>
          <w:caps w:val="0"/>
          <w:color w:val="383940"/>
          <w:spacing w:val="0"/>
          <w:sz w:val="39"/>
          <w:szCs w:val="39"/>
          <w:bdr w:val="none" w:color="auto" w:sz="0" w:space="0"/>
          <w:shd w:val="clear" w:fill="FFFFFF"/>
          <w:vertAlign w:val="baseline"/>
        </w:rPr>
        <w:t>杭州国际旅行卫生保健中心（杭州海关口岸门诊部）2026年度临检类试剂及相关耗材供货服务公开招标公告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textAlignment w:val="baseline"/>
      </w:pPr>
      <w:r>
        <w:rPr>
          <w:rFonts w:hint="eastAsia" w:ascii="微软雅黑" w:hAnsi="微软雅黑" w:eastAsia="微软雅黑" w:cs="微软雅黑"/>
          <w:i w:val="0"/>
          <w:caps w:val="0"/>
          <w:color w:val="707070"/>
          <w:spacing w:val="0"/>
          <w:sz w:val="18"/>
          <w:szCs w:val="18"/>
          <w:bdr w:val="none" w:color="auto" w:sz="0" w:space="0"/>
          <w:shd w:val="clear" w:fill="FFFFFF"/>
          <w:vertAlign w:val="baseline"/>
          <w:lang w:val="en-US" w:eastAsia="zh-CN"/>
        </w:rPr>
        <w:t xml:space="preserve"> </w:t>
      </w:r>
      <w:r>
        <w:rPr>
          <w:i w:val="0"/>
          <w:caps w:val="0"/>
          <w:color w:val="383838"/>
          <w:spacing w:val="0"/>
          <w:bdr w:val="none" w:color="auto" w:sz="0" w:space="0"/>
          <w:shd w:val="clear" w:fill="FFFFFF"/>
          <w:vertAlign w:val="baseline"/>
        </w:rPr>
        <w:t>项目概况</w:t>
      </w:r>
    </w:p>
    <w:p>
      <w:pPr>
        <w:keepNext w:val="0"/>
        <w:keepLines w:val="0"/>
        <w:widowControl/>
        <w:suppressLineNumbers w:val="0"/>
        <w:pBdr>
          <w:top w:val="single" w:color="DDDDDD" w:sz="2"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textAlignment w:val="baseline"/>
        <w:rPr>
          <w:rFonts w:hint="eastAsia" w:ascii="宋体" w:hAnsi="宋体" w:eastAsia="宋体" w:cs="宋体"/>
          <w:i w:val="0"/>
          <w:caps w:val="0"/>
          <w:color w:val="383838"/>
          <w:spacing w:val="0"/>
          <w:sz w:val="24"/>
          <w:szCs w:val="24"/>
        </w:rPr>
      </w:pPr>
      <w:r>
        <w:rPr>
          <w:rFonts w:hint="eastAsia" w:ascii="宋体" w:hAnsi="宋体" w:eastAsia="宋体" w:cs="宋体"/>
          <w:i w:val="0"/>
          <w:caps w:val="0"/>
          <w:color w:val="383838"/>
          <w:spacing w:val="0"/>
          <w:kern w:val="0"/>
          <w:sz w:val="24"/>
          <w:szCs w:val="24"/>
          <w:bdr w:val="none" w:color="auto" w:sz="0" w:space="0"/>
          <w:shd w:val="clear" w:fill="FFFFFF"/>
          <w:vertAlign w:val="baseline"/>
          <w:lang w:val="en-US" w:eastAsia="zh-CN" w:bidi="ar"/>
        </w:rPr>
        <w:t>杭州国际旅行卫生保健中心（杭州海关口岸门诊部）2026年度临检类试剂及相关耗材供货服务 招标项目的潜在投标人应在浙江豪圣建设项目管理有限公司（杭州市拱墅区大关路 179 号远洋国际 A 座 17 楼 1706 室）获取招标文件，并于2026年04月23日 13点30分（北京时间）前递交投标文件。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Style w:val="6"/>
          <w:rFonts w:hint="eastAsia" w:ascii="微软雅黑" w:hAnsi="微软雅黑" w:eastAsia="微软雅黑" w:cs="微软雅黑"/>
          <w:b/>
          <w:i w:val="0"/>
          <w:caps w:val="0"/>
          <w:color w:val="383838"/>
          <w:spacing w:val="0"/>
          <w:sz w:val="24"/>
          <w:szCs w:val="24"/>
          <w:bdr w:val="none" w:color="auto" w:sz="0" w:space="0"/>
          <w:shd w:val="clear" w:fill="FFFFFF"/>
          <w:vertAlign w:val="baseline"/>
        </w:rPr>
        <w:t>一、项目基本情况</w:t>
      </w:r>
      <w:bookmarkStart w:id="0" w:name="_GoBack"/>
      <w:bookmarkEnd w:id="0"/>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项目编号：HSZB-2026-439</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项目名称：杭州国际旅行卫生保健中心（杭州海关口岸门诊部）2026年度临检类试剂及相关耗材供货服务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预算金额：50.000000 万元（人民币）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最高限价（如有）：50.000000 万元（人民币）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采购需求：</w:t>
      </w:r>
    </w:p>
    <w:tbl>
      <w:tblPr>
        <w:tblW w:w="8522"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681"/>
        <w:gridCol w:w="2845"/>
        <w:gridCol w:w="694"/>
        <w:gridCol w:w="430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405" w:hRule="atLeast"/>
        </w:trPr>
        <w:tc>
          <w:tcPr>
            <w:tcW w:w="681"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330" w:afterAutospacing="0" w:line="500" w:lineRule="atLeast"/>
              <w:ind w:left="0" w:right="0"/>
              <w:jc w:val="center"/>
              <w:textAlignment w:val="baseline"/>
            </w:pPr>
            <w:r>
              <w:rPr>
                <w:bdr w:val="none" w:color="auto" w:sz="0" w:space="0"/>
                <w:vertAlign w:val="baseline"/>
              </w:rPr>
              <w:t>标项</w:t>
            </w:r>
          </w:p>
        </w:tc>
        <w:tc>
          <w:tcPr>
            <w:tcW w:w="284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330" w:afterAutospacing="0" w:line="500" w:lineRule="atLeast"/>
              <w:ind w:left="0" w:right="0"/>
              <w:jc w:val="center"/>
              <w:textAlignment w:val="baseline"/>
            </w:pPr>
            <w:r>
              <w:rPr>
                <w:bdr w:val="none" w:color="auto" w:sz="0" w:space="0"/>
                <w:vertAlign w:val="baseline"/>
              </w:rPr>
              <w:t>标项名称</w:t>
            </w:r>
          </w:p>
        </w:tc>
        <w:tc>
          <w:tcPr>
            <w:tcW w:w="694"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330" w:afterAutospacing="0" w:line="500" w:lineRule="atLeast"/>
              <w:ind w:left="0" w:right="0"/>
              <w:jc w:val="center"/>
              <w:textAlignment w:val="baseline"/>
            </w:pPr>
            <w:r>
              <w:rPr>
                <w:bdr w:val="none" w:color="auto" w:sz="0" w:space="0"/>
                <w:vertAlign w:val="baseline"/>
              </w:rPr>
              <w:t>数量</w:t>
            </w:r>
          </w:p>
        </w:tc>
        <w:tc>
          <w:tcPr>
            <w:tcW w:w="4302"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330" w:afterAutospacing="0" w:line="500" w:lineRule="atLeast"/>
              <w:ind w:left="0" w:right="0"/>
              <w:jc w:val="center"/>
              <w:textAlignment w:val="baseline"/>
            </w:pPr>
            <w:r>
              <w:rPr>
                <w:bdr w:val="none" w:color="auto" w:sz="0" w:space="0"/>
                <w:vertAlign w:val="baseline"/>
              </w:rPr>
              <w:t>简要服务需求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05" w:hRule="atLeast"/>
        </w:trPr>
        <w:tc>
          <w:tcPr>
            <w:tcW w:w="681"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330" w:afterAutospacing="0"/>
              <w:ind w:left="0" w:right="0"/>
              <w:jc w:val="center"/>
              <w:textAlignment w:val="baseline"/>
            </w:pPr>
            <w:r>
              <w:rPr>
                <w:bdr w:val="none" w:color="auto" w:sz="0" w:space="0"/>
                <w:vertAlign w:val="baseline"/>
              </w:rPr>
              <w:t>1</w:t>
            </w:r>
          </w:p>
        </w:tc>
        <w:tc>
          <w:tcPr>
            <w:tcW w:w="284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330" w:afterAutospacing="0"/>
              <w:ind w:left="0" w:right="0"/>
              <w:jc w:val="center"/>
              <w:textAlignment w:val="baseline"/>
            </w:pPr>
            <w:r>
              <w:rPr>
                <w:bdr w:val="none" w:color="auto" w:sz="0" w:space="0"/>
                <w:vertAlign w:val="baseline"/>
              </w:rPr>
              <w:t>杭州国际旅行卫生保健中心（杭州海关口岸门诊部）2026年度临检类试剂及相关耗材供货服务</w:t>
            </w:r>
          </w:p>
        </w:tc>
        <w:tc>
          <w:tcPr>
            <w:tcW w:w="694"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330" w:afterAutospacing="0"/>
              <w:ind w:left="0" w:right="0"/>
              <w:jc w:val="center"/>
              <w:textAlignment w:val="baseline"/>
            </w:pPr>
            <w:r>
              <w:rPr>
                <w:bdr w:val="none" w:color="auto" w:sz="0" w:space="0"/>
                <w:vertAlign w:val="baseline"/>
              </w:rPr>
              <w:t>1项</w:t>
            </w:r>
          </w:p>
        </w:tc>
        <w:tc>
          <w:tcPr>
            <w:tcW w:w="4302"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330" w:afterAutospacing="0"/>
              <w:ind w:left="0" w:right="0"/>
              <w:jc w:val="center"/>
              <w:textAlignment w:val="baseline"/>
            </w:pPr>
            <w:r>
              <w:rPr>
                <w:bdr w:val="none" w:color="auto" w:sz="0" w:space="0"/>
                <w:vertAlign w:val="baseline"/>
              </w:rPr>
              <w:t>具体详见招标文件《第三章 采购需求》</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合同履行期限：合同签订后1年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本项目( 不接受  )联合体投标。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Style w:val="6"/>
          <w:rFonts w:hint="eastAsia" w:ascii="微软雅黑" w:hAnsi="微软雅黑" w:eastAsia="微软雅黑" w:cs="微软雅黑"/>
          <w:b/>
          <w:i w:val="0"/>
          <w:caps w:val="0"/>
          <w:color w:val="383838"/>
          <w:spacing w:val="0"/>
          <w:sz w:val="24"/>
          <w:szCs w:val="24"/>
          <w:bdr w:val="none" w:color="auto" w:sz="0" w:space="0"/>
          <w:shd w:val="clear" w:fill="FFFFFF"/>
          <w:vertAlign w:val="baseline"/>
        </w:rPr>
        <w:t>二、申请人的资格要求：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1.满足《中华人民共和国政府采购法》第二十二条规定；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2.落实政府采购政策需满足的资格要求：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3.本项目的特定资格要求：未被“信用中国”（www.creditchina.gov.cn）、中国政府采购网（www.ccgp.gov.cn）列入失信被执行人名单、重大税收违法失信主体名单、政府采购严重违法失信行为记录名单。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Style w:val="6"/>
          <w:rFonts w:hint="eastAsia" w:ascii="微软雅黑" w:hAnsi="微软雅黑" w:eastAsia="微软雅黑" w:cs="微软雅黑"/>
          <w:b/>
          <w:i w:val="0"/>
          <w:caps w:val="0"/>
          <w:color w:val="383838"/>
          <w:spacing w:val="0"/>
          <w:sz w:val="24"/>
          <w:szCs w:val="24"/>
          <w:bdr w:val="none" w:color="auto" w:sz="0" w:space="0"/>
          <w:shd w:val="clear" w:fill="FFFFFF"/>
          <w:vertAlign w:val="baseline"/>
        </w:rPr>
        <w:t>三、获取招标文件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时间：2026年04月02日  至 2026年04月10日，每天上午9:00至11:30，下午13:30至17:00。（北京时间，法定节假日除外）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地点：浙江豪圣建设项目管理有限公司（杭州市拱墅区大关路 179 号远洋国际 A 座 17 楼 1706 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方式：微信获取（扫描附件二维码或关注“浙江豪圣投标报名管理系统”微信服务号）或现场获取。投标人获取标书时应提交的资料：1）介绍信或法人授权书（原件）；2）被授权人身份证（复印件加盖单位公章）；3）营业执照副本（复印件加盖单位公章）；4）项目报名表；5）招标文件工本费汇款凭证(若有）。（或将上述5个资料扫描件作为附件上传至“浙江豪圣投标报名管理系统”，审核通过后招标文件及相关资料（若有）自动发送至报名邮箱。） 获取文件联系人：刘丽丽；联系方式：0571-56578213。</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售价：￥500.0 元，本公告包含的招标文件售价总和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Style w:val="6"/>
          <w:rFonts w:hint="eastAsia" w:ascii="微软雅黑" w:hAnsi="微软雅黑" w:eastAsia="微软雅黑" w:cs="微软雅黑"/>
          <w:b/>
          <w:i w:val="0"/>
          <w:caps w:val="0"/>
          <w:color w:val="383838"/>
          <w:spacing w:val="0"/>
          <w:sz w:val="24"/>
          <w:szCs w:val="24"/>
          <w:bdr w:val="none" w:color="auto" w:sz="0" w:space="0"/>
          <w:shd w:val="clear" w:fill="FFFFFF"/>
          <w:vertAlign w:val="baseline"/>
        </w:rPr>
        <w:t>四、提交投标文件截止时间、开标时间和地点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提交投标文件截止时间：2026年04月23日 13点30分（北京时间）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开标时间：2026年04月23日 13点30分（北京时间）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地点：杭州市拱墅区大关路179号远洋国际A座17楼开标室三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Style w:val="6"/>
          <w:rFonts w:hint="eastAsia" w:ascii="微软雅黑" w:hAnsi="微软雅黑" w:eastAsia="微软雅黑" w:cs="微软雅黑"/>
          <w:b/>
          <w:i w:val="0"/>
          <w:caps w:val="0"/>
          <w:color w:val="383838"/>
          <w:spacing w:val="0"/>
          <w:sz w:val="24"/>
          <w:szCs w:val="24"/>
          <w:bdr w:val="none" w:color="auto" w:sz="0" w:space="0"/>
          <w:shd w:val="clear" w:fill="FFFFFF"/>
          <w:vertAlign w:val="baseline"/>
        </w:rPr>
        <w:t>五、公告期限</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自本公告发布之日起5个工作日。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Style w:val="6"/>
          <w:rFonts w:hint="eastAsia" w:ascii="微软雅黑" w:hAnsi="微软雅黑" w:eastAsia="微软雅黑" w:cs="微软雅黑"/>
          <w:b/>
          <w:i w:val="0"/>
          <w:caps w:val="0"/>
          <w:color w:val="383838"/>
          <w:spacing w:val="0"/>
          <w:sz w:val="24"/>
          <w:szCs w:val="24"/>
          <w:bdr w:val="none" w:color="auto" w:sz="0" w:space="0"/>
          <w:shd w:val="clear" w:fill="FFFFFF"/>
          <w:vertAlign w:val="baseline"/>
        </w:rPr>
        <w:t>六、其他补充事宜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500" w:lineRule="atLeast"/>
        <w:ind w:left="1576" w:right="226" w:firstLine="420"/>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1.投标人认为招标文件使自己的权益受到损害的，可以自获取招标文件之日或者招标文件公告期限届满之日（公告期限届满后获取招标文件的，以公告期限届满之日为准）起7个工作日内，以书面形式向采购人和采购代理机构提出质疑。</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500" w:lineRule="atLeast"/>
        <w:ind w:left="1576" w:right="226" w:firstLine="420"/>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2.单位负责人为同一人或者存在直接控股、管理关系的不同投标人，不得同时参加同一合同项下的投标。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500" w:lineRule="atLeast"/>
        <w:ind w:left="1576" w:right="226" w:firstLine="420"/>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3.为项目提供整体设计、规范编制或者项目管理、监理、检测等服务的投标人，不得再参加该采购项目的其他采购活动。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500" w:lineRule="atLeast"/>
        <w:ind w:left="1576" w:right="226" w:firstLine="420"/>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4.投标人不得为列入失信被执行人、重大税收违法失信主体名单、政府采购严重违法失信行为记录名单的投标人。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500" w:lineRule="atLeast"/>
        <w:ind w:left="1576" w:right="226" w:firstLine="420"/>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（1）信用信息查询渠道：“信用中国”网站（www.creditchina.gov.cn）、中国政府采购网（www.ccgp.gov.cn）。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500" w:lineRule="atLeast"/>
        <w:ind w:left="1576" w:right="226" w:firstLine="420"/>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（2）信用信息查询截止时点：开标日由采购人或采购代理查询投标人的信用信息记录。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500" w:lineRule="atLeast"/>
        <w:ind w:left="1576" w:right="226" w:firstLine="420"/>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（3）信用信息查询记录和证据留存的具体方式：信用信息查询记录将以网站截图打印稿形式与其他招标文件一并保存。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500" w:lineRule="atLeast"/>
        <w:ind w:left="1576" w:right="226" w:firstLine="420"/>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4）信用信息的使用规则：如投标人为“信用中国”网站（www.creditchina.gov.cn）中列入失信被执行人或重大税收违法失信主体名单的投标人，或为中国政府采购网（www.ccgp.gov.cn）政府采购严重违法失信行为记录名单中被财政部门禁止参加政府采购活动的投标人，则其投标将被拒绝。</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500" w:lineRule="atLeast"/>
        <w:ind w:left="1576" w:right="226" w:firstLine="420"/>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5.本项目招标文件发售截止时间之后有潜在投标人提出要求获取招标文件的，采购代理机构将允许其获取，但该投标人如对招标文件有质疑的应在规定的质疑期限内提出。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500" w:lineRule="atLeast"/>
        <w:ind w:left="1576" w:right="226" w:firstLine="422"/>
        <w:textAlignment w:val="baseline"/>
      </w:pPr>
      <w:r>
        <w:rPr>
          <w:rStyle w:val="6"/>
          <w:rFonts w:hint="eastAsia" w:ascii="微软雅黑" w:hAnsi="微软雅黑" w:eastAsia="微软雅黑" w:cs="微软雅黑"/>
          <w:b/>
          <w:i w:val="0"/>
          <w:caps w:val="0"/>
          <w:color w:val="383838"/>
          <w:spacing w:val="0"/>
          <w:sz w:val="24"/>
          <w:szCs w:val="24"/>
          <w:bdr w:val="none" w:color="auto" w:sz="0" w:space="0"/>
          <w:shd w:val="clear" w:fill="FFFFFF"/>
          <w:vertAlign w:val="baseline"/>
        </w:rPr>
        <w:t>6.本项目不收取投标保证金。</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500" w:lineRule="atLeast"/>
        <w:ind w:left="1576" w:right="226" w:firstLine="422"/>
        <w:textAlignment w:val="baseline"/>
      </w:pPr>
      <w:r>
        <w:rPr>
          <w:rStyle w:val="6"/>
          <w:rFonts w:hint="eastAsia" w:ascii="微软雅黑" w:hAnsi="微软雅黑" w:eastAsia="微软雅黑" w:cs="微软雅黑"/>
          <w:b/>
          <w:i w:val="0"/>
          <w:caps w:val="0"/>
          <w:color w:val="383838"/>
          <w:spacing w:val="0"/>
          <w:sz w:val="24"/>
          <w:szCs w:val="24"/>
          <w:bdr w:val="none" w:color="auto" w:sz="0" w:space="0"/>
          <w:shd w:val="clear" w:fill="FFFFFF"/>
          <w:vertAlign w:val="baseline"/>
        </w:rPr>
        <w:t>7.采购项目需要落实的政府采购政策：</w:t>
      </w: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关于促进残疾人就业政府采购政策的通知》（财库[2017]141号）、《关于进一步加大政府采购支持中小企业力度的通知》（财库〔2022〕19号）、《政府采购促进中小企业发展管理办法》（财库[2020]46号）、《关于政府采购支持监狱企业发展有关问题的通知》(财库[2014]68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500" w:lineRule="atLeast"/>
        <w:ind w:left="1576" w:right="226" w:firstLine="420"/>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8.公开招标公告与招标文件内容有出入之处，以招标文件约定为准。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500" w:lineRule="atLeast"/>
        <w:ind w:left="1576" w:right="226" w:firstLine="420"/>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9.本项目相关公告的发布媒体：中国政府采购网(www.ccgp.gov.cn/)。相关公告在法定媒体上公布之日即视为有效送达，请各投标人及时关注。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Style w:val="6"/>
          <w:rFonts w:hint="eastAsia" w:ascii="微软雅黑" w:hAnsi="微软雅黑" w:eastAsia="微软雅黑" w:cs="微软雅黑"/>
          <w:b/>
          <w:i w:val="0"/>
          <w:caps w:val="0"/>
          <w:color w:val="383838"/>
          <w:spacing w:val="0"/>
          <w:sz w:val="24"/>
          <w:szCs w:val="24"/>
          <w:bdr w:val="none" w:color="auto" w:sz="0" w:space="0"/>
          <w:shd w:val="clear" w:fill="FFFFFF"/>
          <w:vertAlign w:val="baseline"/>
        </w:rPr>
        <w:t>七、对本次招标提出询问，请按以下方式联系。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1.采购人信息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名 称：杭州国际旅行卫生保健中心（杭州海关口岸门诊部）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地址：杭州市文三路2号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联系方式：夏老师，0571-56085005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2.采购代理机构信息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名 称：浙江豪圣建设项目管理有限公司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地　址：杭州市拱墅区大关路179号远洋国际中心A座17楼1706室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联系方式：桑国坚、曹剑斌、陈敏娇；0571-56386096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3.项目联系方式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项目联系人：桑国坚、曹剑斌、陈敏娇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电　话：　　0571-56386096</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2F44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Office_10.8.2.6949_F1E327BC-269C-435d-A152-05C5408002CA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2026-04-02T11:17:05Z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2052-10.8.2.6949</vt:lpwstr>
  </property>
</Properties>
</file>