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uto"/>
        <w:jc w:val="center"/>
        <w:rPr>
          <w:rFonts w:ascii="宋体" w:eastAsia="宋体" w:cs="宋体"/>
          <w:b/>
          <w:bCs/>
          <w:color w:val="000000"/>
          <w:sz w:val="44"/>
          <w:szCs w:val="44"/>
          <w14:textFill>
            <w14:solidFill>
              <w14:srgbClr w14:val="000000"/>
            </w14:solidFill>
          </w14:textFill>
        </w:rPr>
      </w:pPr>
      <w:bookmarkStart w:id="0" w:name="_GoBack"/>
      <w:bookmarkEnd w:id="0"/>
      <w:r>
        <w:rPr>
          <w:rFonts w:ascii="宋体" w:eastAsia="宋体" w:cs="宋体" w:hint="eastAsia"/>
          <w:b/>
          <w:bCs/>
          <w:color w:val="000000"/>
          <w:sz w:val="44"/>
          <w:szCs w:val="44"/>
          <w14:textFill>
            <w14:solidFill>
              <w14:srgbClr w14:val="000000"/>
            </w14:solidFill>
          </w14:textFill>
        </w:rPr>
        <w:t>2026年金华海关物业服务项目</w:t>
      </w:r>
    </w:p>
    <w:p>
      <w:pPr>
        <w:spacing w:line="360" w:lineRule="auto"/>
        <w:jc w:val="center"/>
        <w:rPr>
          <w:rFonts w:ascii="宋体" w:eastAsia="宋体" w:cs="宋体"/>
          <w:color w:val="000000"/>
          <w:sz w:val="44"/>
          <w:szCs w:val="44"/>
          <w14:textFill>
            <w14:solidFill>
              <w14:srgbClr w14:val="000000"/>
            </w14:solidFill>
          </w14:textFill>
        </w:rPr>
      </w:pPr>
      <w:r>
        <w:rPr>
          <w:rFonts w:ascii="宋体" w:eastAsia="宋体" w:cs="宋体" w:hint="eastAsia"/>
          <w:b/>
          <w:bCs/>
          <w:color w:val="000000"/>
          <w:sz w:val="44"/>
          <w:szCs w:val="44"/>
          <w14:textFill>
            <w14:solidFill>
              <w14:srgbClr w14:val="000000"/>
            </w14:solidFill>
          </w14:textFill>
        </w:rPr>
        <w:t>采购需求公示</w:t>
      </w:r>
    </w:p>
    <w:p>
      <w:pPr>
        <w:rPr>
          <w:rFonts w:ascii="仿宋" w:eastAsia="仿宋" w:cs="仿宋"/>
          <w:color w:val="000000"/>
          <w:sz w:val="32"/>
          <w:szCs w:val="32"/>
          <w14:textFill>
            <w14:solidFill>
              <w14:srgbClr w14:val="000000"/>
            </w14:solidFill>
          </w14:textFill>
        </w:rPr>
      </w:pPr>
    </w:p>
    <w:p>
      <w:pPr>
        <w:pStyle w:val="21"/>
        <w:widowControl/>
        <w:spacing w:beforeAutospacing="0" w:afterAutospacing="0" w:line="360" w:lineRule="auto"/>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公示简要情况说明：根据《中华人民共和国政府采购法》、《中华人民共和国政府采购法实施条例》、《政府采购货物和服务招标投标管理办法》等法律法规规定，</w:t>
      </w:r>
      <w:r>
        <w:rPr>
          <w:rFonts w:ascii="仿宋" w:eastAsia="仿宋" w:cs="仿宋" w:hint="eastAsia"/>
          <w:b/>
          <w:bCs/>
          <w:color w:val="000000"/>
          <w:sz w:val="32"/>
          <w:szCs w:val="32"/>
          <w14:textFill>
            <w14:solidFill>
              <w14:srgbClr w14:val="000000"/>
            </w14:solidFill>
          </w14:textFill>
        </w:rPr>
        <w:t>2026年金华海关物业服务项目</w:t>
      </w:r>
      <w:r>
        <w:rPr>
          <w:rFonts w:ascii="仿宋" w:eastAsia="仿宋" w:cs="仿宋" w:hint="eastAsia"/>
          <w:color w:val="000000"/>
          <w:sz w:val="32"/>
          <w:szCs w:val="32"/>
          <w14:textFill>
            <w14:solidFill>
              <w14:srgbClr w14:val="000000"/>
            </w14:solidFill>
          </w14:textFill>
        </w:rPr>
        <w:t>将于近期进行公开招标。现将采购需求公布如下,并征求潜在供应商意见。请各供应商对采购需求中可能存在的歧视性条款、倾向性意见和特定的技术服务指标、排他性条款、影响政府采购“公开、公平、公正”原则的其他情况或有其他好的意见提出理由及修改建议。</w:t>
      </w:r>
    </w:p>
    <w:p>
      <w:pPr>
        <w:pStyle w:val="21"/>
        <w:widowControl/>
        <w:spacing w:beforeAutospacing="0" w:afterAutospacing="0" w:line="360" w:lineRule="auto"/>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一、意见征询编号：/</w:t>
      </w:r>
    </w:p>
    <w:p>
      <w:pPr>
        <w:pStyle w:val="21"/>
        <w:widowControl/>
        <w:spacing w:beforeAutospacing="0" w:afterAutospacing="0" w:line="360" w:lineRule="auto"/>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二、征求意见范围：1、是否出现歧视性条款；2、是否存在明显的倾向性意见和特定的技术服务指标；3、影响政府采购“公开、公平、公正”原则的其他情况；4、其他好的意见和建议。</w:t>
      </w:r>
    </w:p>
    <w:p>
      <w:pPr>
        <w:pStyle w:val="21"/>
        <w:widowControl/>
        <w:spacing w:beforeAutospacing="0" w:afterAutospacing="0" w:line="360" w:lineRule="auto"/>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三、征求意见递交及接收：</w:t>
      </w:r>
    </w:p>
    <w:p>
      <w:pPr>
        <w:pStyle w:val="21"/>
        <w:widowControl/>
        <w:spacing w:beforeAutospacing="0" w:afterAutospacing="0" w:line="360" w:lineRule="auto"/>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1、意见递交截止时间：2026年2月23日17点30分。</w:t>
      </w:r>
    </w:p>
    <w:p>
      <w:pPr>
        <w:pStyle w:val="21"/>
        <w:widowControl/>
        <w:spacing w:beforeAutospacing="0" w:afterAutospacing="0" w:line="360" w:lineRule="auto"/>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2、意见递交方式：书面或电子邮件，请与项目联系人确认接收，否则视为供应商未提交书面意见建议</w:t>
      </w:r>
    </w:p>
    <w:p>
      <w:pPr>
        <w:pStyle w:val="21"/>
        <w:widowControl/>
        <w:spacing w:beforeAutospacing="0" w:afterAutospacing="0" w:line="360" w:lineRule="auto"/>
        <w:ind w:firstLineChars="200" w:firstLine="640"/>
        <w:jc w:val="both"/>
        <w:rPr>
          <w:rFonts w:ascii="仿宋" w:eastAsia="仿宋" w:cs="仿宋"/>
          <w:sz w:val="32"/>
          <w:szCs w:val="32"/>
        </w:rPr>
      </w:pPr>
      <w:r>
        <w:rPr>
          <w:rFonts w:ascii="仿宋" w:eastAsia="仿宋" w:cs="仿宋" w:hint="eastAsia"/>
          <w:sz w:val="32"/>
          <w:szCs w:val="32"/>
        </w:rPr>
        <w:t>3、意见接收机构：金华海关</w:t>
      </w:r>
    </w:p>
    <w:p>
      <w:pPr>
        <w:pStyle w:val="21"/>
        <w:widowControl/>
        <w:spacing w:beforeAutospacing="0" w:afterAutospacing="0" w:line="360" w:lineRule="auto"/>
        <w:ind w:firstLineChars="200" w:firstLine="640"/>
        <w:jc w:val="both"/>
        <w:rPr>
          <w:rFonts w:ascii="仿宋" w:eastAsia="仿宋" w:cs="仿宋"/>
          <w:sz w:val="32"/>
          <w:szCs w:val="32"/>
        </w:rPr>
      </w:pPr>
      <w:r>
        <w:rPr>
          <w:rFonts w:ascii="仿宋" w:eastAsia="仿宋" w:cs="仿宋" w:hint="eastAsia"/>
          <w:sz w:val="32"/>
          <w:szCs w:val="32"/>
        </w:rPr>
        <w:t>4、联系人：范永</w:t>
      </w:r>
    </w:p>
    <w:p>
      <w:pPr>
        <w:pStyle w:val="21"/>
        <w:widowControl/>
        <w:spacing w:beforeAutospacing="0" w:afterAutospacing="0" w:line="360" w:lineRule="auto"/>
        <w:ind w:firstLineChars="200" w:firstLine="640"/>
        <w:jc w:val="both"/>
        <w:rPr>
          <w:rFonts w:ascii="仿宋" w:eastAsia="仿宋" w:cs="仿宋"/>
          <w:sz w:val="32"/>
          <w:szCs w:val="32"/>
        </w:rPr>
      </w:pPr>
      <w:r>
        <w:rPr>
          <w:rFonts w:ascii="仿宋" w:eastAsia="仿宋" w:cs="仿宋" w:hint="eastAsia"/>
          <w:sz w:val="32"/>
          <w:szCs w:val="32"/>
        </w:rPr>
        <w:t>5、联系电话：0579-82172936</w:t>
      </w:r>
    </w:p>
    <w:p>
      <w:pPr>
        <w:pStyle w:val="21"/>
        <w:widowControl/>
        <w:spacing w:beforeAutospacing="0" w:afterAutospacing="0" w:line="360" w:lineRule="auto"/>
        <w:ind w:firstLineChars="200" w:firstLine="640"/>
        <w:jc w:val="both"/>
        <w:rPr>
          <w:rFonts w:ascii="仿宋" w:eastAsia="仿宋" w:cs="仿宋"/>
          <w:sz w:val="32"/>
          <w:szCs w:val="32"/>
        </w:rPr>
      </w:pPr>
      <w:r>
        <w:rPr>
          <w:rFonts w:ascii="仿宋" w:eastAsia="仿宋" w:cs="仿宋" w:hint="eastAsia"/>
          <w:sz w:val="32"/>
          <w:szCs w:val="32"/>
        </w:rPr>
        <w:t>6、联系邮箱：8721124@qq.com</w:t>
      </w:r>
    </w:p>
    <w:p>
      <w:pPr>
        <w:pStyle w:val="21"/>
        <w:widowControl/>
        <w:spacing w:beforeAutospacing="0" w:afterAutospacing="0" w:line="360" w:lineRule="auto"/>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四、合格的修改意见和建议书要求</w:t>
      </w:r>
    </w:p>
    <w:p>
      <w:pPr>
        <w:pStyle w:val="21"/>
        <w:widowControl/>
        <w:spacing w:beforeAutospacing="0" w:afterAutospacing="0" w:line="360" w:lineRule="auto"/>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1、供应商提出修改意见和建议的，书面材料须加盖单位公章和经法人代表签字确认，是授权代理人签字的，必须出具针对该项目的法人代表授权书及联系电话。2、专家提出修改意见和建议的，须出具本人与该项目相关专业证书复印件及联系电话。3、各供应商及专家提出修改意见和建议内容必须是真实的，并附相关依据，如发现存在提供虚假材料或恶意扰乱政府采购正常秩序的，一经查实将提请有关政府采购管理机构，列入不良行为记录。</w:t>
      </w:r>
    </w:p>
    <w:p>
      <w:pPr>
        <w:pStyle w:val="21"/>
        <w:widowControl/>
        <w:spacing w:beforeAutospacing="0" w:afterAutospacing="0" w:line="360" w:lineRule="auto"/>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五、注意事项：</w:t>
      </w:r>
    </w:p>
    <w:p>
      <w:pPr>
        <w:pStyle w:val="21"/>
        <w:widowControl/>
        <w:spacing w:beforeAutospacing="0" w:afterAutospacing="0" w:line="360" w:lineRule="auto"/>
        <w:ind w:firstLineChars="200" w:firstLine="640"/>
        <w:jc w:val="both"/>
        <w:rPr>
          <w:rFonts w:ascii="仿宋" w:eastAsia="仿宋" w:cs="仿宋"/>
          <w:color w:val="000000"/>
          <w:sz w:val="32"/>
          <w:szCs w:val="32"/>
          <w14:textFill>
            <w14:solidFill>
              <w14:srgbClr w14:val="000000"/>
            </w14:solidFill>
          </w14:textFill>
        </w:rPr>
      </w:pPr>
      <w:r>
        <w:rPr>
          <w:rFonts w:ascii="仿宋" w:eastAsia="仿宋" w:cs="仿宋" w:hint="eastAsia"/>
          <w:color w:val="000000"/>
          <w:sz w:val="32"/>
          <w:szCs w:val="32"/>
          <w14:textFill>
            <w14:solidFill>
              <w14:srgbClr w14:val="000000"/>
            </w14:solidFill>
          </w14:textFill>
        </w:rPr>
        <w:t>拟采购项目的采购内容及需求：见附件</w:t>
      </w:r>
    </w:p>
    <w:p>
      <w:pPr>
        <w:pStyle w:val="21"/>
        <w:widowControl/>
        <w:spacing w:beforeAutospacing="0" w:afterAutospacing="0" w:line="360" w:lineRule="auto"/>
        <w:jc w:val="both"/>
        <w:rPr>
          <w:rFonts w:ascii="仿宋" w:eastAsia="仿宋" w:cs="仿宋"/>
          <w:color w:val="000000"/>
          <w:sz w:val="32"/>
          <w:szCs w:val="32"/>
          <w14:textFill>
            <w14:solidFill>
              <w14:srgbClr w14:val="000000"/>
            </w14:solidFill>
          </w14:textFill>
        </w:rPr>
      </w:pPr>
      <w:r>
        <w:rPr>
          <w:rStyle w:val="23"/>
          <w:rFonts w:ascii="仿宋" w:eastAsia="仿宋" w:cs="仿宋" w:hint="eastAsia"/>
          <w:b w:val="0"/>
          <w:color w:val="000000"/>
          <w:sz w:val="32"/>
          <w:szCs w:val="32"/>
          <w14:textFill>
            <w14:solidFill>
              <w14:srgbClr w14:val="000000"/>
            </w14:solidFill>
          </w14:textFill>
        </w:rPr>
        <w:t>附件信息:</w:t>
      </w:r>
    </w:p>
    <w:p>
      <w:pPr>
        <w:pStyle w:val="21"/>
        <w:widowControl/>
        <w:spacing w:beforeAutospacing="0" w:afterAutospacing="0" w:line="360" w:lineRule="auto"/>
        <w:jc w:val="both"/>
        <w:rPr>
          <w:rFonts w:ascii="仿宋" w:eastAsia="仿宋" w:cs="仿宋"/>
          <w:color w:val="000000"/>
          <w:sz w:val="32"/>
          <w:szCs w:val="32"/>
          <w14:textFill>
            <w14:solidFill>
              <w14:srgbClr w14:val="000000"/>
            </w14:solidFill>
          </w14:textFill>
        </w:rPr>
      </w:pPr>
      <w:r>
        <w:rPr>
          <w:rStyle w:val="25"/>
          <w:rFonts w:ascii="仿宋" w:eastAsia="仿宋" w:cs="仿宋" w:hint="eastAsia"/>
          <w:color w:val="000000"/>
          <w:sz w:val="32"/>
          <w:szCs w:val="32"/>
          <w14:textFill>
            <w14:solidFill>
              <w14:srgbClr w14:val="000000"/>
            </w14:solidFill>
          </w14:textFill>
        </w:rPr>
        <w:fldChar w:fldCharType="begin"/>
      </w:r>
      <w:r>
        <w:instrText>HYPERLINK "https://file-open-doc.zcygov.cn/1014AN/330281/10010561211/20259/8e54300b-b0c9-437c-82e3-7efee3109787.doc"</w:instrText>
      </w:r>
      <w:r>
        <w:rPr>
          <w:rStyle w:val="25"/>
          <w:rFonts w:ascii="仿宋" w:eastAsia="仿宋" w:cs="仿宋" w:hint="eastAsia"/>
          <w:color w:val="000000"/>
          <w:sz w:val="32"/>
          <w:szCs w:val="32"/>
          <w14:textFill>
            <w14:solidFill>
              <w14:srgbClr w14:val="000000"/>
            </w14:solidFill>
          </w14:textFill>
        </w:rPr>
        <w:fldChar w:fldCharType="separate"/>
      </w:r>
      <w:r>
        <w:rPr>
          <w:rStyle w:val="25"/>
          <w:rFonts w:ascii="仿宋" w:eastAsia="仿宋" w:cs="仿宋" w:hint="eastAsia"/>
          <w:color w:val="000000"/>
          <w:sz w:val="32"/>
          <w:szCs w:val="32"/>
          <w14:textFill>
            <w14:solidFill>
              <w14:srgbClr w14:val="000000"/>
            </w14:solidFill>
          </w14:textFill>
        </w:rPr>
        <w:t>采购内容及需求.doc</w:t>
      </w:r>
      <w:r>
        <w:rPr>
          <w:rStyle w:val="25"/>
          <w:rFonts w:ascii="仿宋" w:eastAsia="仿宋" w:cs="仿宋" w:hint="eastAsia"/>
          <w:color w:val="000000"/>
          <w:sz w:val="32"/>
          <w:szCs w:val="32"/>
          <w14:textFill>
            <w14:solidFill>
              <w14:srgbClr w14:val="000000"/>
            </w14:solidFill>
          </w14:textFill>
        </w:rPr>
        <w:fldChar w:fldCharType="end"/>
      </w:r>
      <w:r>
        <w:rPr>
          <w:rFonts w:ascii="仿宋" w:eastAsia="仿宋" w:cs="仿宋" w:hint="eastAsia"/>
          <w:color w:val="000000"/>
          <w:sz w:val="32"/>
          <w:szCs w:val="32"/>
          <w14:textFill>
            <w14:solidFill>
              <w14:srgbClr w14:val="000000"/>
            </w14:solidFill>
          </w14:textFill>
        </w:rPr>
        <w:t> </w:t>
      </w:r>
    </w:p>
    <w:p>
      <w:pPr>
        <w:tabs>
          <w:tab w:val="left" w:pos="5415"/>
        </w:tabs>
        <w:spacing w:line="480" w:lineRule="exact"/>
        <w:rPr>
          <w:rStyle w:val="1Char"/>
          <w:rFonts w:ascii="宋体" w:cs="宋体"/>
          <w:sz w:val="32"/>
          <w:szCs w:val="32"/>
        </w:rPr>
      </w:pPr>
    </w:p>
    <w:p>
      <w:pPr>
        <w:rPr>
          <w:rStyle w:val="1Char"/>
          <w:rFonts w:ascii="宋体" w:cs="宋体"/>
          <w:sz w:val="32"/>
          <w:szCs w:val="32"/>
        </w:rPr>
      </w:pPr>
      <w:r>
        <w:rPr>
          <w:rStyle w:val="1Char"/>
          <w:rFonts w:ascii="宋体" w:cs="宋体" w:hint="eastAsia"/>
          <w:sz w:val="32"/>
          <w:szCs w:val="32"/>
        </w:rPr>
        <w:br w:type="page"/>
      </w:r>
    </w:p>
    <w:p>
      <w:pPr>
        <w:pStyle w:val="1"/>
        <w:spacing w:line="360" w:lineRule="auto"/>
        <w:rPr>
          <w:rFonts w:ascii="宋体" w:cs="宋体"/>
          <w:b w:val="0"/>
          <w:spacing w:val="40"/>
        </w:rPr>
      </w:pPr>
      <w:r>
        <w:rPr>
          <w:rStyle w:val="1Char"/>
          <w:rFonts w:ascii="宋体" w:cs="宋体" w:hint="eastAsia"/>
          <w:b/>
          <w:bCs/>
          <w:sz w:val="32"/>
          <w:szCs w:val="32"/>
        </w:rPr>
        <w:t>2026年金华海关度物业服务项目采购需求</w:t>
      </w:r>
    </w:p>
    <w:p>
      <w:pPr>
        <w:snapToGrid w:val="0"/>
        <w:spacing w:line="460" w:lineRule="atLeast"/>
        <w:ind w:firstLineChars="200" w:firstLine="480"/>
        <w:jc w:val="left"/>
        <w:rPr>
          <w:rFonts w:ascii="宋体" w:eastAsia="宋体" w:cs="宋体"/>
          <w:b/>
          <w:bCs/>
          <w:sz w:val="24"/>
        </w:rPr>
      </w:pPr>
      <w:bookmarkStart w:id="1" w:name="_Toc365479279"/>
      <w:r>
        <w:rPr>
          <w:rFonts w:ascii="宋体" w:eastAsia="宋体" w:cs="宋体" w:hint="eastAsia"/>
          <w:b/>
          <w:bCs/>
          <w:sz w:val="24"/>
        </w:rPr>
        <w:t>一、项目采购编号：/</w:t>
      </w:r>
    </w:p>
    <w:p>
      <w:pPr>
        <w:snapToGrid w:val="0"/>
        <w:spacing w:line="460" w:lineRule="atLeast"/>
        <w:ind w:firstLineChars="200" w:firstLine="480"/>
        <w:jc w:val="left"/>
        <w:rPr>
          <w:rFonts w:ascii="宋体" w:eastAsia="宋体" w:cs="宋体"/>
          <w:b/>
          <w:bCs/>
          <w:sz w:val="24"/>
        </w:rPr>
      </w:pPr>
      <w:r>
        <w:rPr>
          <w:rFonts w:ascii="宋体" w:eastAsia="宋体" w:cs="宋体" w:hint="eastAsia"/>
          <w:b/>
          <w:bCs/>
          <w:sz w:val="24"/>
        </w:rPr>
        <w:t>二、采购单位名称：金华海关</w:t>
      </w:r>
    </w:p>
    <w:p>
      <w:pPr>
        <w:snapToGrid w:val="0"/>
        <w:spacing w:line="460" w:lineRule="atLeast"/>
        <w:ind w:firstLineChars="200" w:firstLine="480"/>
        <w:jc w:val="left"/>
        <w:rPr>
          <w:rFonts w:ascii="宋体" w:eastAsia="宋体" w:cs="宋体"/>
          <w:b/>
          <w:bCs/>
          <w:sz w:val="24"/>
        </w:rPr>
      </w:pPr>
      <w:bookmarkStart w:id="2" w:name="_Toc263856678"/>
      <w:r>
        <w:rPr>
          <w:rFonts w:ascii="宋体" w:eastAsia="宋体" w:cs="宋体" w:hint="eastAsia"/>
          <w:b/>
          <w:bCs/>
          <w:sz w:val="24"/>
        </w:rPr>
        <w:t>三、项目名称</w:t>
      </w:r>
      <w:bookmarkEnd w:id="2"/>
      <w:r>
        <w:rPr>
          <w:rFonts w:ascii="宋体" w:eastAsia="宋体" w:cs="宋体" w:hint="eastAsia"/>
          <w:b/>
          <w:bCs/>
          <w:sz w:val="24"/>
        </w:rPr>
        <w:t>：2026年金华海关度物业服务项目</w:t>
      </w:r>
    </w:p>
    <w:p>
      <w:pPr>
        <w:spacing w:line="460" w:lineRule="atLeast"/>
        <w:ind w:firstLineChars="200" w:firstLine="480"/>
        <w:jc w:val="left"/>
        <w:rPr>
          <w:rFonts w:ascii="宋体" w:eastAsia="宋体" w:cs="宋体"/>
          <w:b/>
          <w:sz w:val="24"/>
        </w:rPr>
      </w:pPr>
      <w:r>
        <w:rPr>
          <w:rFonts w:ascii="宋体" w:eastAsia="宋体" w:cs="宋体" w:hint="eastAsia"/>
          <w:b/>
          <w:sz w:val="24"/>
        </w:rPr>
        <w:t>四、</w:t>
      </w:r>
      <w:r>
        <w:rPr>
          <w:rFonts w:ascii="宋体" w:eastAsia="宋体" w:cs="宋体" w:hint="eastAsia"/>
          <w:b/>
          <w:bCs/>
          <w:sz w:val="24"/>
        </w:rPr>
        <w:t>预算金额：195.00万元</w:t>
      </w:r>
    </w:p>
    <w:p>
      <w:pPr>
        <w:spacing w:line="460" w:lineRule="atLeast"/>
        <w:ind w:firstLineChars="200" w:firstLine="480"/>
        <w:jc w:val="left"/>
        <w:rPr>
          <w:rFonts w:ascii="宋体" w:eastAsia="宋体" w:cs="宋体"/>
          <w:b/>
          <w:sz w:val="24"/>
        </w:rPr>
      </w:pPr>
      <w:r>
        <w:rPr>
          <w:rFonts w:ascii="宋体" w:eastAsia="宋体" w:cs="宋体" w:hint="eastAsia"/>
          <w:b/>
          <w:sz w:val="24"/>
        </w:rPr>
        <w:t>五、采购内容、数量及参数</w:t>
      </w:r>
    </w:p>
    <w:p>
      <w:pPr>
        <w:spacing w:line="460" w:lineRule="atLeast"/>
        <w:ind w:firstLineChars="200" w:firstLine="480"/>
        <w:rPr>
          <w:rFonts w:ascii="宋体" w:eastAsia="宋体" w:cs="宋体"/>
          <w:b/>
          <w:bCs/>
          <w:sz w:val="24"/>
        </w:rPr>
      </w:pPr>
      <w:bookmarkEnd w:id="1"/>
      <w:r>
        <w:rPr>
          <w:rFonts w:ascii="宋体" w:eastAsia="宋体" w:cs="宋体" w:hint="eastAsia"/>
          <w:b/>
          <w:sz w:val="24"/>
        </w:rPr>
        <w:t>（一）</w:t>
      </w:r>
      <w:r>
        <w:rPr>
          <w:rFonts w:ascii="宋体" w:eastAsia="宋体" w:cs="宋体" w:hint="eastAsia"/>
          <w:b/>
          <w:bCs/>
          <w:sz w:val="24"/>
        </w:rPr>
        <w:t>基本情况</w:t>
      </w:r>
    </w:p>
    <w:p>
      <w:pPr>
        <w:spacing w:line="460" w:lineRule="atLeast"/>
        <w:ind w:firstLineChars="200" w:firstLine="480"/>
        <w:rPr>
          <w:rFonts w:ascii="宋体" w:eastAsia="宋体" w:cs="宋体"/>
          <w:sz w:val="24"/>
        </w:rPr>
      </w:pPr>
      <w:r>
        <w:rPr>
          <w:rFonts w:ascii="宋体" w:eastAsia="宋体" w:cs="宋体" w:hint="eastAsia"/>
          <w:sz w:val="24"/>
        </w:rPr>
        <w:t>1.金华海关共有办公场所二处，其中李渔东路1159号，面积是12240平方米，15层高（地下2层）。</w:t>
      </w:r>
      <w:r>
        <w:rPr>
          <w:rFonts w:ascii="宋体" w:eastAsia="宋体" w:cs="宋体"/>
          <w:sz w:val="24"/>
        </w:rPr>
        <w:t>宋濂路1000号</w:t>
      </w:r>
      <w:r>
        <w:rPr>
          <w:rFonts w:ascii="宋体" w:eastAsia="宋体" w:cs="宋体" w:hint="eastAsia"/>
          <w:sz w:val="24"/>
        </w:rPr>
        <w:t>, 面积是16600平方米，12层高（地下1层）。训练中心一处，面积7</w:t>
      </w:r>
      <w:r>
        <w:rPr>
          <w:rFonts w:ascii="宋体" w:eastAsia="宋体" w:cs="宋体"/>
          <w:sz w:val="24"/>
        </w:rPr>
        <w:t>00</w:t>
      </w:r>
      <w:r>
        <w:rPr>
          <w:rFonts w:ascii="宋体" w:eastAsia="宋体" w:cs="宋体" w:hint="eastAsia"/>
          <w:sz w:val="24"/>
        </w:rPr>
        <w:t>平方米。</w:t>
      </w:r>
    </w:p>
    <w:p>
      <w:pPr>
        <w:adjustRightInd w:val="0"/>
        <w:snapToGrid w:val="0"/>
        <w:spacing w:line="460" w:lineRule="atLeast"/>
        <w:ind w:firstLineChars="200" w:firstLine="480"/>
        <w:rPr>
          <w:rFonts w:ascii="宋体" w:eastAsia="宋体"/>
        </w:rPr>
      </w:pPr>
      <w:r>
        <w:rPr>
          <w:rFonts w:ascii="宋体" w:eastAsia="宋体" w:cs="宋体" w:hint="eastAsia"/>
          <w:sz w:val="24"/>
        </w:rPr>
        <w:t>2.本项目由中标人承担</w:t>
      </w:r>
      <w:r>
        <w:rPr>
          <w:rFonts w:ascii="宋体" w:eastAsia="宋体" w:cs="宋体" w:hint="eastAsia"/>
          <w:bCs/>
          <w:sz w:val="24"/>
        </w:rPr>
        <w:t>所有服务及针对本项目物业管理所产生的费用等，</w:t>
      </w:r>
      <w:r>
        <w:rPr>
          <w:rFonts w:ascii="宋体" w:eastAsia="宋体" w:cs="宋体" w:hint="eastAsia"/>
          <w:sz w:val="24"/>
        </w:rPr>
        <w:t>包括人员费用(含人员工资、社保、各类津贴、意外保险费用、劳保用品、服装等）、保洁及保洁耗材费用（包含:尘推、扫把、拖把、簸箕、玻璃清洁剂、全能消毒清洁剂、洁厕剂、静电牵尘剂、不锈钢油、空气清新剂、芳香块、洗衣粉、肥皂、百洁布、胶手套、玻璃刮刀、胶条、鸡毛掸、抹布、喷壶、水桶、洗手间作业提示牌、刷子、双梯、面蜡、公共场所垃圾袋、镜面保养剂、厕所内投放卫生除味用品和厕纸、擦手纸、洗手液、蚊香等</w:t>
      </w:r>
      <w:r>
        <w:rPr>
          <w:rFonts w:ascii="宋体" w:eastAsia="宋体" w:cs="宋体" w:hint="eastAsia"/>
          <w:bCs/>
          <w:sz w:val="24"/>
        </w:rPr>
        <w:t>日常物业管理服务中所需物品,其中</w:t>
      </w:r>
      <w:r>
        <w:rPr>
          <w:rFonts w:ascii="宋体" w:eastAsia="宋体" w:cs="宋体" w:hint="eastAsia"/>
          <w:sz w:val="24"/>
        </w:rPr>
        <w:t>厕纸、擦手纸、洗手液需使用“清风”、“维达”、“心相印”、“蓝月亮”、“舒肤佳”等这几类品牌及以上标准的用品)、绿化养护、保安及消防管理、房屋建筑及设施设备的维修维护、防疫服务、</w:t>
      </w:r>
      <w:r>
        <w:rPr>
          <w:rFonts w:ascii="宋体" w:eastAsia="宋体" w:cs="宋体" w:hint="eastAsia"/>
          <w:bCs/>
          <w:sz w:val="24"/>
        </w:rPr>
        <w:t>管理费、税费以及合同包含的所有风险、责任等各项全部费用。采购人不再支付其他费用。</w:t>
      </w:r>
    </w:p>
    <w:p>
      <w:pPr>
        <w:spacing w:line="460" w:lineRule="atLeast"/>
        <w:ind w:firstLineChars="200" w:firstLine="480"/>
        <w:rPr>
          <w:rFonts w:ascii="宋体" w:eastAsia="宋体" w:cs="宋体"/>
          <w:b/>
          <w:bCs/>
          <w:sz w:val="24"/>
        </w:rPr>
      </w:pPr>
      <w:r>
        <w:rPr>
          <w:rFonts w:ascii="宋体" w:eastAsia="宋体" w:cs="宋体" w:hint="eastAsia"/>
          <w:b/>
          <w:bCs/>
          <w:sz w:val="24"/>
        </w:rPr>
        <w:t xml:space="preserve">（二）保洁服务 </w:t>
      </w:r>
    </w:p>
    <w:p>
      <w:pPr>
        <w:spacing w:line="460" w:lineRule="atLeast"/>
        <w:ind w:firstLineChars="200" w:firstLine="480"/>
        <w:rPr>
          <w:rFonts w:ascii="宋体" w:eastAsia="宋体" w:cs="宋体"/>
          <w:sz w:val="24"/>
        </w:rPr>
      </w:pPr>
      <w:r>
        <w:rPr>
          <w:rFonts w:ascii="宋体" w:eastAsia="宋体" w:cs="宋体" w:hint="eastAsia"/>
          <w:sz w:val="24"/>
        </w:rPr>
        <w:t xml:space="preserve">1.服务范围 </w:t>
      </w:r>
    </w:p>
    <w:p>
      <w:pPr>
        <w:spacing w:line="460" w:lineRule="atLeast"/>
        <w:ind w:firstLineChars="200" w:firstLine="480"/>
        <w:rPr>
          <w:rFonts w:ascii="宋体" w:eastAsia="宋体" w:cs="宋体"/>
          <w:sz w:val="24"/>
        </w:rPr>
      </w:pPr>
      <w:r>
        <w:rPr>
          <w:rFonts w:ascii="宋体" w:eastAsia="宋体" w:cs="宋体" w:hint="eastAsia"/>
          <w:sz w:val="24"/>
        </w:rPr>
        <w:t xml:space="preserve">（1）范围内的全部办公、公共场所和设施设备以及建筑物所在院落其他建筑的保洁与会务管理。 </w:t>
      </w:r>
    </w:p>
    <w:p>
      <w:pPr>
        <w:spacing w:line="460" w:lineRule="atLeast"/>
        <w:ind w:firstLineChars="200" w:firstLine="480"/>
        <w:rPr>
          <w:rFonts w:ascii="宋体" w:eastAsia="宋体" w:cs="宋体"/>
          <w:sz w:val="24"/>
        </w:rPr>
      </w:pPr>
      <w:r>
        <w:rPr>
          <w:rFonts w:ascii="宋体" w:eastAsia="宋体" w:cs="宋体" w:hint="eastAsia"/>
          <w:sz w:val="24"/>
        </w:rPr>
        <w:t xml:space="preserve">2.服务内容 </w:t>
      </w:r>
    </w:p>
    <w:p>
      <w:pPr>
        <w:spacing w:line="460" w:lineRule="atLeast"/>
        <w:ind w:firstLineChars="200" w:firstLine="480"/>
        <w:rPr>
          <w:rFonts w:ascii="宋体" w:eastAsia="宋体" w:cs="宋体"/>
          <w:sz w:val="24"/>
        </w:rPr>
      </w:pPr>
      <w:r>
        <w:rPr>
          <w:rFonts w:ascii="宋体" w:eastAsia="宋体" w:cs="宋体" w:hint="eastAsia"/>
          <w:sz w:val="24"/>
        </w:rPr>
        <w:t>（1）所有的室内区域，包括：办事大厅、办公室、会议室、活动室、值班室内外等所有区域的卫生保洁工作；电梯管理及保洁工作。</w:t>
      </w:r>
    </w:p>
    <w:p>
      <w:pPr>
        <w:spacing w:line="460" w:lineRule="atLeast"/>
        <w:ind w:firstLineChars="200" w:firstLine="480"/>
        <w:rPr>
          <w:rFonts w:ascii="宋体" w:eastAsia="宋体" w:cs="宋体"/>
          <w:sz w:val="24"/>
        </w:rPr>
      </w:pPr>
      <w:r>
        <w:rPr>
          <w:rFonts w:ascii="宋体" w:eastAsia="宋体" w:cs="宋体" w:hint="eastAsia"/>
          <w:sz w:val="24"/>
        </w:rPr>
        <w:t>（2）所有的室外公共区域，包含：道路、花坛、停车场、训练中心等所有公共场所以及公共设施的卫生保洁工作。</w:t>
      </w:r>
    </w:p>
    <w:p>
      <w:pPr>
        <w:spacing w:line="460" w:lineRule="atLeast"/>
        <w:ind w:firstLineChars="200" w:firstLine="480"/>
        <w:rPr>
          <w:rFonts w:ascii="宋体" w:eastAsia="宋体" w:cs="宋体"/>
          <w:sz w:val="24"/>
        </w:rPr>
      </w:pPr>
      <w:r>
        <w:rPr>
          <w:rFonts w:ascii="宋体" w:eastAsia="宋体" w:cs="宋体" w:hint="eastAsia"/>
          <w:sz w:val="24"/>
        </w:rPr>
        <w:t>（3）所有楼宇卫生死角和窗台、阳台、露台的卫生清理。</w:t>
      </w:r>
    </w:p>
    <w:p>
      <w:pPr>
        <w:spacing w:line="460" w:lineRule="atLeast"/>
        <w:ind w:firstLineChars="200" w:firstLine="480"/>
        <w:rPr>
          <w:rFonts w:ascii="宋体" w:eastAsia="宋体" w:cs="宋体"/>
          <w:sz w:val="24"/>
        </w:rPr>
      </w:pPr>
      <w:r>
        <w:rPr>
          <w:rFonts w:ascii="宋体" w:eastAsia="宋体" w:cs="宋体" w:hint="eastAsia"/>
          <w:sz w:val="24"/>
        </w:rPr>
        <w:t>（4）日常卫生保洁产生的垃圾废弃物收集（分类），清运至指定的垃圾集中站点，同时承担非生活垃圾的清理外运（建筑垃圾除外）。</w:t>
      </w:r>
    </w:p>
    <w:p>
      <w:pPr>
        <w:spacing w:line="460" w:lineRule="atLeast"/>
        <w:ind w:firstLineChars="200" w:firstLine="480"/>
        <w:rPr>
          <w:rFonts w:ascii="宋体" w:eastAsia="宋体" w:cs="宋体"/>
          <w:sz w:val="24"/>
        </w:rPr>
      </w:pPr>
      <w:r>
        <w:rPr>
          <w:rFonts w:ascii="宋体" w:eastAsia="宋体" w:cs="宋体" w:hint="eastAsia"/>
          <w:sz w:val="24"/>
        </w:rPr>
        <w:t>（5）负责保洁区域的设施设备、水电等的报修和配合验收工作。</w:t>
      </w:r>
    </w:p>
    <w:p>
      <w:pPr>
        <w:spacing w:line="460" w:lineRule="atLeast"/>
        <w:ind w:firstLineChars="200" w:firstLine="480"/>
        <w:rPr>
          <w:rFonts w:ascii="宋体" w:eastAsia="宋体" w:cs="宋体"/>
          <w:sz w:val="24"/>
        </w:rPr>
      </w:pPr>
      <w:r>
        <w:rPr>
          <w:rFonts w:ascii="宋体" w:eastAsia="宋体" w:cs="宋体" w:hint="eastAsia"/>
          <w:sz w:val="24"/>
        </w:rPr>
        <w:t>（6）采购人各种临时性活动的卫生保洁、协助会场布置（搭棚、各类搬运等）工作。</w:t>
      </w:r>
    </w:p>
    <w:p>
      <w:pPr>
        <w:spacing w:line="460" w:lineRule="atLeast"/>
        <w:ind w:firstLineChars="200" w:firstLine="480"/>
        <w:rPr>
          <w:rFonts w:ascii="宋体" w:eastAsia="宋体" w:cs="宋体"/>
          <w:sz w:val="24"/>
        </w:rPr>
      </w:pPr>
      <w:r>
        <w:rPr>
          <w:rFonts w:ascii="宋体" w:eastAsia="宋体" w:cs="宋体" w:hint="eastAsia"/>
          <w:sz w:val="24"/>
        </w:rPr>
        <w:t>（7）消防设施的管理、巡查及维护。</w:t>
      </w:r>
    </w:p>
    <w:p>
      <w:pPr>
        <w:spacing w:line="460" w:lineRule="atLeast"/>
        <w:ind w:firstLineChars="200" w:firstLine="480"/>
        <w:rPr>
          <w:rFonts w:ascii="宋体" w:eastAsia="宋体" w:cs="宋体"/>
          <w:sz w:val="24"/>
        </w:rPr>
      </w:pPr>
      <w:r>
        <w:rPr>
          <w:rFonts w:ascii="宋体" w:eastAsia="宋体" w:cs="宋体" w:hint="eastAsia"/>
          <w:sz w:val="24"/>
        </w:rPr>
        <w:t>（8）每年对大楼门厅的玻璃顶棚清洗不少于2次。</w:t>
      </w:r>
    </w:p>
    <w:p>
      <w:pPr>
        <w:pStyle w:val="27"/>
        <w:spacing w:line="460" w:lineRule="atLeast"/>
        <w:ind w:firstLineChars="200" w:firstLine="480"/>
        <w:rPr>
          <w:rFonts w:ascii="宋体" w:eastAsia="宋体" w:cs="宋体"/>
          <w:sz w:val="24"/>
        </w:rPr>
      </w:pPr>
      <w:r>
        <w:rPr>
          <w:rFonts w:ascii="宋体" w:eastAsia="宋体" w:cs="宋体" w:hint="eastAsia"/>
          <w:sz w:val="24"/>
        </w:rPr>
        <w:t>（9）采购人办公用品、家具及涉及办公室调整的零星搬运工作。</w:t>
      </w:r>
    </w:p>
    <w:p>
      <w:pPr>
        <w:pStyle w:val="27"/>
        <w:spacing w:line="460" w:lineRule="atLeast"/>
        <w:ind w:firstLineChars="200" w:firstLine="480"/>
        <w:rPr>
          <w:rFonts w:ascii="宋体" w:eastAsia="宋体" w:cs="宋体"/>
          <w:sz w:val="24"/>
        </w:rPr>
      </w:pPr>
      <w:r>
        <w:rPr>
          <w:rFonts w:ascii="宋体" w:eastAsia="宋体" w:cs="宋体" w:hint="eastAsia"/>
          <w:sz w:val="24"/>
        </w:rPr>
        <w:t>（10）完成领导布置的其它临时性工作。</w:t>
      </w:r>
    </w:p>
    <w:p>
      <w:pPr>
        <w:spacing w:line="460" w:lineRule="atLeast"/>
        <w:ind w:firstLineChars="200" w:firstLine="480"/>
        <w:rPr>
          <w:rFonts w:ascii="宋体" w:eastAsia="宋体" w:cs="宋体"/>
          <w:sz w:val="24"/>
        </w:rPr>
      </w:pPr>
      <w:r>
        <w:rPr>
          <w:rFonts w:ascii="宋体" w:eastAsia="宋体" w:cs="宋体" w:hint="eastAsia"/>
          <w:sz w:val="24"/>
        </w:rPr>
        <w:t xml:space="preserve">★3、服务要求： </w:t>
      </w:r>
    </w:p>
    <w:p>
      <w:pPr>
        <w:spacing w:line="460" w:lineRule="atLeast"/>
        <w:ind w:firstLineChars="200" w:firstLine="480"/>
        <w:rPr>
          <w:rFonts w:ascii="宋体" w:eastAsia="宋体" w:cs="宋体"/>
          <w:sz w:val="24"/>
        </w:rPr>
      </w:pPr>
      <w:r>
        <w:rPr>
          <w:rFonts w:ascii="宋体" w:eastAsia="宋体" w:cs="宋体" w:hint="eastAsia"/>
          <w:sz w:val="24"/>
        </w:rPr>
        <w:t xml:space="preserve">（1）室外公共区域保洁要求 </w:t>
      </w:r>
    </w:p>
    <w:p>
      <w:pPr>
        <w:spacing w:line="460" w:lineRule="atLeast"/>
        <w:ind w:firstLineChars="200" w:firstLine="480"/>
        <w:rPr>
          <w:rFonts w:ascii="宋体" w:eastAsia="宋体" w:cs="宋体"/>
          <w:sz w:val="24"/>
        </w:rPr>
      </w:pPr>
      <w:r>
        <w:rPr>
          <w:rFonts w:ascii="宋体" w:eastAsia="宋体" w:cs="宋体" w:hint="eastAsia"/>
          <w:sz w:val="24"/>
        </w:rPr>
        <w:t xml:space="preserve">①所有区域每天至少清扫 1次，全天保持清洁，做到路面、花坛整洁无纸屑、塑料袋、烟蒂、积水等。 </w:t>
      </w:r>
    </w:p>
    <w:p>
      <w:pPr>
        <w:spacing w:line="460" w:lineRule="atLeast"/>
        <w:ind w:firstLineChars="200" w:firstLine="480"/>
        <w:rPr>
          <w:rFonts w:ascii="宋体" w:eastAsia="宋体" w:cs="宋体"/>
          <w:sz w:val="24"/>
        </w:rPr>
      </w:pPr>
      <w:r>
        <w:rPr>
          <w:rFonts w:ascii="宋体" w:eastAsia="宋体" w:cs="宋体" w:hint="eastAsia"/>
          <w:sz w:val="24"/>
        </w:rPr>
        <w:t xml:space="preserve">②每天及时将垃圾桶内垃圾清运至指定的垃圾集中点，垃圾桶需每天清洗，确保箱桶外表整洁、内部无异味，垃圾不满溢。 </w:t>
      </w:r>
    </w:p>
    <w:p>
      <w:pPr>
        <w:spacing w:line="460" w:lineRule="atLeast"/>
        <w:ind w:firstLineChars="200" w:firstLine="480"/>
        <w:rPr>
          <w:rFonts w:ascii="宋体" w:eastAsia="宋体" w:cs="宋体"/>
          <w:sz w:val="24"/>
        </w:rPr>
      </w:pPr>
      <w:r>
        <w:rPr>
          <w:rFonts w:ascii="宋体" w:eastAsia="宋体" w:cs="宋体" w:hint="eastAsia"/>
          <w:sz w:val="24"/>
        </w:rPr>
        <w:t xml:space="preserve">③确保垃圾集中站点地面干净整洁、无明显异味和蚊蝇滋生。 </w:t>
      </w:r>
    </w:p>
    <w:p>
      <w:pPr>
        <w:spacing w:line="460" w:lineRule="atLeast"/>
        <w:ind w:firstLineChars="200" w:firstLine="480"/>
        <w:rPr>
          <w:rFonts w:ascii="宋体" w:eastAsia="宋体" w:cs="宋体"/>
          <w:sz w:val="24"/>
        </w:rPr>
      </w:pPr>
      <w:r>
        <w:rPr>
          <w:rFonts w:ascii="宋体" w:eastAsia="宋体" w:cs="宋体" w:hint="eastAsia"/>
          <w:sz w:val="24"/>
        </w:rPr>
        <w:t xml:space="preserve">④及时清除园区内未经许可随意张贴、悬挂的物品，保证园公区的干净整洁。 </w:t>
      </w:r>
    </w:p>
    <w:p>
      <w:pPr>
        <w:spacing w:line="460" w:lineRule="atLeast"/>
        <w:ind w:firstLineChars="200" w:firstLine="480"/>
        <w:rPr>
          <w:rFonts w:ascii="宋体" w:eastAsia="宋体" w:cs="宋体"/>
          <w:sz w:val="24"/>
        </w:rPr>
      </w:pPr>
      <w:r>
        <w:rPr>
          <w:rFonts w:ascii="宋体" w:eastAsia="宋体" w:cs="宋体" w:hint="eastAsia"/>
          <w:sz w:val="24"/>
        </w:rPr>
        <w:t xml:space="preserve">⑤对宣传栏、指示牌等室外公共设施的保洁维护工作。 </w:t>
      </w:r>
    </w:p>
    <w:p>
      <w:pPr>
        <w:spacing w:line="460" w:lineRule="atLeast"/>
        <w:ind w:firstLineChars="200" w:firstLine="480"/>
        <w:rPr>
          <w:rFonts w:ascii="宋体" w:eastAsia="宋体" w:cs="宋体"/>
          <w:sz w:val="24"/>
        </w:rPr>
      </w:pPr>
      <w:r>
        <w:rPr>
          <w:rFonts w:ascii="宋体" w:eastAsia="宋体" w:cs="宋体" w:hint="eastAsia"/>
          <w:sz w:val="24"/>
        </w:rPr>
        <w:t xml:space="preserve">⑥每月进行一次下水沟渠疏通、屋顶沿沟清理、窗台阳台清理工作。 </w:t>
      </w:r>
    </w:p>
    <w:p>
      <w:pPr>
        <w:spacing w:line="460" w:lineRule="atLeast"/>
        <w:ind w:firstLineChars="200" w:firstLine="480"/>
        <w:rPr>
          <w:rFonts w:ascii="宋体" w:eastAsia="宋体" w:cs="宋体"/>
          <w:sz w:val="24"/>
        </w:rPr>
      </w:pPr>
      <w:r>
        <w:rPr>
          <w:rFonts w:ascii="宋体" w:eastAsia="宋体" w:cs="宋体" w:hint="eastAsia"/>
          <w:sz w:val="24"/>
        </w:rPr>
        <w:t xml:space="preserve">（2）室内保洁要求 </w:t>
      </w:r>
    </w:p>
    <w:p>
      <w:pPr>
        <w:spacing w:line="460" w:lineRule="atLeast"/>
        <w:ind w:firstLineChars="200" w:firstLine="480"/>
        <w:rPr>
          <w:rFonts w:ascii="宋体" w:eastAsia="宋体" w:cs="宋体"/>
          <w:sz w:val="24"/>
        </w:rPr>
      </w:pPr>
      <w:r>
        <w:rPr>
          <w:rFonts w:ascii="宋体" w:eastAsia="宋体" w:cs="宋体" w:hint="eastAsia"/>
          <w:sz w:val="24"/>
        </w:rPr>
        <w:t xml:space="preserve">①地面卫生必须每天清扫拖洗2次，并进行全天候保洁，达到地面无灰尘，无污迹。垃圾桶内的垃圾及时清理。 </w:t>
      </w:r>
    </w:p>
    <w:p>
      <w:pPr>
        <w:spacing w:line="460" w:lineRule="atLeast"/>
        <w:ind w:firstLineChars="200" w:firstLine="480"/>
        <w:rPr>
          <w:rFonts w:ascii="宋体" w:eastAsia="宋体" w:cs="宋体"/>
          <w:sz w:val="24"/>
        </w:rPr>
      </w:pPr>
      <w:r>
        <w:rPr>
          <w:rFonts w:ascii="宋体" w:eastAsia="宋体" w:cs="宋体" w:hint="eastAsia"/>
          <w:sz w:val="24"/>
        </w:rPr>
        <w:t xml:space="preserve">②每周应对墙面、天花板、安全指示灯、各种标牌、指示牌等的擦拭和清理，确保无污迹、无蛛网。 </w:t>
      </w:r>
    </w:p>
    <w:p>
      <w:pPr>
        <w:spacing w:line="460" w:lineRule="atLeast"/>
        <w:ind w:firstLineChars="200" w:firstLine="480"/>
        <w:rPr>
          <w:rFonts w:ascii="宋体" w:eastAsia="宋体" w:cs="宋体"/>
          <w:sz w:val="24"/>
        </w:rPr>
      </w:pPr>
      <w:r>
        <w:rPr>
          <w:rFonts w:ascii="宋体" w:eastAsia="宋体" w:cs="宋体" w:hint="eastAsia"/>
          <w:sz w:val="24"/>
        </w:rPr>
        <w:t xml:space="preserve">③公共的门窗(玻璃、窗框、窗台)、灯具等明净光洁、无灰尘、污迹。 </w:t>
      </w:r>
    </w:p>
    <w:p>
      <w:pPr>
        <w:spacing w:line="460" w:lineRule="atLeast"/>
        <w:ind w:firstLineChars="200" w:firstLine="480"/>
        <w:rPr>
          <w:rFonts w:ascii="宋体" w:eastAsia="宋体" w:cs="宋体"/>
          <w:sz w:val="24"/>
        </w:rPr>
      </w:pPr>
      <w:r>
        <w:rPr>
          <w:rFonts w:ascii="宋体" w:eastAsia="宋体" w:cs="宋体" w:hint="eastAsia"/>
          <w:sz w:val="24"/>
        </w:rPr>
        <w:t xml:space="preserve">④每日做好电梯保洁工作，每天保持清洁。 </w:t>
      </w:r>
    </w:p>
    <w:p>
      <w:pPr>
        <w:spacing w:line="460" w:lineRule="atLeast"/>
        <w:ind w:firstLineChars="200" w:firstLine="480"/>
        <w:rPr>
          <w:rFonts w:ascii="宋体" w:eastAsia="宋体" w:cs="宋体"/>
          <w:sz w:val="24"/>
        </w:rPr>
      </w:pPr>
      <w:r>
        <w:rPr>
          <w:rFonts w:ascii="宋体" w:eastAsia="宋体" w:cs="宋体" w:hint="eastAsia"/>
          <w:sz w:val="24"/>
        </w:rPr>
        <w:t xml:space="preserve">⑤扶手、栏杆、桌椅等要求光洁，无灰尘、无污迹。 </w:t>
      </w:r>
    </w:p>
    <w:p>
      <w:pPr>
        <w:spacing w:line="460" w:lineRule="atLeast"/>
        <w:ind w:firstLineChars="200" w:firstLine="480"/>
        <w:rPr>
          <w:rFonts w:ascii="宋体" w:eastAsia="宋体" w:cs="宋体"/>
          <w:sz w:val="24"/>
        </w:rPr>
      </w:pPr>
      <w:r>
        <w:rPr>
          <w:rFonts w:ascii="宋体" w:eastAsia="宋体" w:cs="宋体" w:hint="eastAsia"/>
          <w:sz w:val="24"/>
        </w:rPr>
        <w:t xml:space="preserve">⑥消防设施及其他公共设施外表清洁干净、无积尘、无污迹。 </w:t>
      </w:r>
    </w:p>
    <w:p>
      <w:pPr>
        <w:spacing w:line="460" w:lineRule="atLeast"/>
        <w:ind w:firstLineChars="200" w:firstLine="480"/>
        <w:rPr>
          <w:rFonts w:ascii="宋体" w:eastAsia="宋体" w:cs="宋体"/>
          <w:sz w:val="24"/>
        </w:rPr>
      </w:pPr>
      <w:r>
        <w:rPr>
          <w:rFonts w:ascii="宋体" w:eastAsia="宋体" w:cs="宋体" w:hint="eastAsia"/>
          <w:sz w:val="24"/>
        </w:rPr>
        <w:t xml:space="preserve">⑦厕所（含洗手台、池）干净整洁，厕所内投放卫生除味用品，并随时清扫厕所卫生，确保厕所内无臭味、无积水、无污垢。保持坑、池、管道通畅，无粪便污水溢出，无积垢，厕纸篓每天及时清理。 </w:t>
      </w:r>
    </w:p>
    <w:p>
      <w:pPr>
        <w:spacing w:line="460" w:lineRule="atLeast"/>
        <w:ind w:firstLineChars="200" w:firstLine="480"/>
        <w:rPr>
          <w:rFonts w:ascii="宋体" w:eastAsia="宋体" w:cs="宋体"/>
          <w:sz w:val="24"/>
        </w:rPr>
      </w:pPr>
      <w:r>
        <w:rPr>
          <w:rFonts w:ascii="宋体" w:eastAsia="宋体" w:cs="宋体" w:hint="eastAsia"/>
          <w:sz w:val="24"/>
        </w:rPr>
        <w:t xml:space="preserve">（3）门卫保洁要求： </w:t>
      </w:r>
    </w:p>
    <w:p>
      <w:pPr>
        <w:spacing w:line="460" w:lineRule="atLeast"/>
        <w:ind w:firstLineChars="300" w:firstLine="720"/>
        <w:rPr>
          <w:rFonts w:ascii="宋体" w:eastAsia="宋体" w:cs="宋体"/>
          <w:sz w:val="24"/>
        </w:rPr>
      </w:pPr>
      <w:r>
        <w:rPr>
          <w:rFonts w:ascii="宋体" w:eastAsia="宋体" w:cs="宋体" w:hint="eastAsia"/>
          <w:sz w:val="24"/>
        </w:rPr>
        <w:t>卫生保洁工作按室外公共区域和室内保洁要求完成，</w:t>
      </w:r>
    </w:p>
    <w:p>
      <w:pPr>
        <w:spacing w:line="460" w:lineRule="atLeast"/>
        <w:ind w:firstLineChars="200" w:firstLine="480"/>
        <w:rPr>
          <w:rFonts w:ascii="宋体" w:eastAsia="宋体" w:cs="宋体"/>
          <w:color w:val="FF0000"/>
          <w:sz w:val="24"/>
          <w:highlight w:val="yellow"/>
        </w:rPr>
      </w:pPr>
      <w:r>
        <w:rPr>
          <w:rFonts w:ascii="宋体" w:eastAsia="宋体" w:cs="宋体" w:hint="eastAsia"/>
          <w:sz w:val="24"/>
        </w:rPr>
        <w:t>（4）其他突发状况或临时管控期间所有区域的保洁按采购人要求完成。</w:t>
      </w:r>
    </w:p>
    <w:p>
      <w:pPr>
        <w:spacing w:line="460" w:lineRule="atLeast"/>
        <w:ind w:firstLineChars="200" w:firstLine="480"/>
        <w:rPr>
          <w:rFonts w:ascii="宋体" w:eastAsia="宋体" w:cs="宋体"/>
          <w:b/>
          <w:bCs/>
          <w:sz w:val="24"/>
        </w:rPr>
      </w:pPr>
      <w:r>
        <w:rPr>
          <w:rFonts w:ascii="宋体" w:eastAsia="宋体" w:cs="宋体" w:hint="eastAsia"/>
          <w:b/>
          <w:bCs/>
          <w:sz w:val="24"/>
        </w:rPr>
        <w:t xml:space="preserve">（三）绿化服务 </w:t>
      </w:r>
    </w:p>
    <w:p>
      <w:pPr>
        <w:spacing w:line="460" w:lineRule="atLeast"/>
        <w:ind w:firstLineChars="200" w:firstLine="480"/>
        <w:rPr>
          <w:rFonts w:ascii="宋体" w:eastAsia="宋体" w:cs="宋体"/>
          <w:sz w:val="24"/>
        </w:rPr>
      </w:pPr>
      <w:r>
        <w:rPr>
          <w:rFonts w:ascii="宋体" w:eastAsia="宋体" w:cs="宋体" w:hint="eastAsia"/>
          <w:sz w:val="24"/>
        </w:rPr>
        <w:t xml:space="preserve">1.服务范围 </w:t>
      </w:r>
    </w:p>
    <w:p>
      <w:pPr>
        <w:spacing w:line="460" w:lineRule="atLeast"/>
        <w:ind w:firstLineChars="200" w:firstLine="480"/>
        <w:rPr>
          <w:rFonts w:ascii="宋体" w:eastAsia="宋体" w:cs="宋体"/>
          <w:sz w:val="24"/>
        </w:rPr>
      </w:pPr>
      <w:r>
        <w:rPr>
          <w:rFonts w:ascii="宋体" w:eastAsia="宋体" w:cs="宋体" w:hint="eastAsia"/>
          <w:sz w:val="24"/>
        </w:rPr>
        <w:t xml:space="preserve">（1）范围内的全部绿化带的养护与管理等。 </w:t>
      </w:r>
    </w:p>
    <w:p>
      <w:pPr>
        <w:spacing w:line="460" w:lineRule="atLeast"/>
        <w:ind w:firstLineChars="200" w:firstLine="480"/>
        <w:rPr>
          <w:rFonts w:ascii="宋体" w:eastAsia="宋体" w:cs="宋体"/>
          <w:sz w:val="24"/>
        </w:rPr>
      </w:pPr>
      <w:r>
        <w:rPr>
          <w:rFonts w:ascii="宋体" w:eastAsia="宋体" w:cs="宋体" w:hint="eastAsia"/>
          <w:sz w:val="24"/>
        </w:rPr>
        <w:t xml:space="preserve">（2）采用由中标人包人员费用和包园林机械、汽油、机油、石灰、浇水管、农药化肥等费用的一次性包总价方式。 </w:t>
      </w:r>
    </w:p>
    <w:p>
      <w:pPr>
        <w:spacing w:line="460" w:lineRule="atLeast"/>
        <w:ind w:firstLineChars="200" w:firstLine="480"/>
        <w:rPr>
          <w:rFonts w:ascii="宋体" w:eastAsia="宋体" w:cs="宋体"/>
          <w:sz w:val="24"/>
        </w:rPr>
      </w:pPr>
      <w:r>
        <w:rPr>
          <w:rFonts w:ascii="宋体" w:eastAsia="宋体" w:cs="宋体" w:hint="eastAsia"/>
          <w:sz w:val="24"/>
        </w:rPr>
        <w:t xml:space="preserve">2.服务内容 </w:t>
      </w:r>
    </w:p>
    <w:p>
      <w:pPr>
        <w:spacing w:line="460" w:lineRule="atLeast"/>
        <w:ind w:firstLineChars="200" w:firstLine="480"/>
        <w:rPr>
          <w:rFonts w:ascii="宋体" w:eastAsia="宋体" w:cs="宋体"/>
          <w:sz w:val="24"/>
        </w:rPr>
      </w:pPr>
      <w:r>
        <w:rPr>
          <w:rFonts w:ascii="宋体" w:eastAsia="宋体" w:cs="宋体" w:hint="eastAsia"/>
          <w:sz w:val="24"/>
        </w:rPr>
        <w:t xml:space="preserve">（1）绿化养护管理工作包括除草、松土、浇水、整形、除虫等，还有防止人为的毁坏。 </w:t>
      </w:r>
    </w:p>
    <w:p>
      <w:pPr>
        <w:spacing w:line="460" w:lineRule="atLeast"/>
        <w:ind w:firstLineChars="200" w:firstLine="480"/>
        <w:rPr>
          <w:rFonts w:ascii="宋体" w:eastAsia="宋体" w:cs="宋体"/>
          <w:sz w:val="24"/>
        </w:rPr>
      </w:pPr>
      <w:r>
        <w:rPr>
          <w:rFonts w:ascii="宋体" w:eastAsia="宋体" w:cs="宋体" w:hint="eastAsia"/>
          <w:sz w:val="24"/>
        </w:rPr>
        <w:t xml:space="preserve">（2）在做好日常性的管理同时，针对不同花草树木的品种、不同习性、不同季节、不同生长期，对生存的客观条件的要求，进行针对性的和动态性的园艺管理。 </w:t>
      </w:r>
    </w:p>
    <w:p>
      <w:pPr>
        <w:spacing w:line="460" w:lineRule="atLeast"/>
        <w:ind w:firstLineChars="200" w:firstLine="480"/>
        <w:rPr>
          <w:rFonts w:ascii="宋体" w:eastAsia="宋体" w:cs="宋体"/>
          <w:sz w:val="24"/>
        </w:rPr>
      </w:pPr>
      <w:r>
        <w:rPr>
          <w:rFonts w:ascii="宋体" w:eastAsia="宋体" w:cs="宋体" w:hint="eastAsia"/>
          <w:sz w:val="24"/>
        </w:rPr>
        <w:t xml:space="preserve">（3）完成领导布置的其它临时性工作。 </w:t>
      </w:r>
    </w:p>
    <w:p>
      <w:pPr>
        <w:spacing w:line="460" w:lineRule="atLeast"/>
        <w:ind w:firstLineChars="200" w:firstLine="480"/>
        <w:rPr>
          <w:rFonts w:ascii="宋体" w:eastAsia="宋体" w:cs="宋体"/>
          <w:sz w:val="24"/>
        </w:rPr>
      </w:pPr>
      <w:r>
        <w:rPr>
          <w:rFonts w:ascii="宋体" w:eastAsia="宋体" w:cs="宋体" w:hint="eastAsia"/>
          <w:sz w:val="24"/>
        </w:rPr>
        <w:t xml:space="preserve">★3.服务要求 </w:t>
      </w:r>
    </w:p>
    <w:p>
      <w:pPr>
        <w:spacing w:line="460" w:lineRule="atLeast"/>
        <w:ind w:firstLineChars="200" w:firstLine="480"/>
        <w:rPr>
          <w:rFonts w:ascii="宋体" w:eastAsia="宋体" w:cs="宋体"/>
          <w:sz w:val="24"/>
        </w:rPr>
      </w:pPr>
      <w:r>
        <w:rPr>
          <w:rFonts w:ascii="宋体" w:eastAsia="宋体" w:cs="宋体" w:hint="eastAsia"/>
          <w:sz w:val="24"/>
        </w:rPr>
        <w:t xml:space="preserve">（1）对园区树木、花卉及草坪进行精心养护、保持良好生长状态，做到树木生长茂盛、无枯枝，树形美观完整无倾斜，花坛土壤疏松无垃圾，草坪平整清洁无杂草。 </w:t>
      </w:r>
    </w:p>
    <w:p>
      <w:pPr>
        <w:spacing w:line="460" w:lineRule="atLeast"/>
        <w:ind w:firstLineChars="200" w:firstLine="480"/>
        <w:rPr>
          <w:rFonts w:ascii="宋体" w:eastAsia="宋体" w:cs="宋体"/>
          <w:sz w:val="24"/>
        </w:rPr>
      </w:pPr>
      <w:r>
        <w:rPr>
          <w:rFonts w:ascii="宋体" w:eastAsia="宋体" w:cs="宋体" w:hint="eastAsia"/>
          <w:sz w:val="24"/>
        </w:rPr>
        <w:t xml:space="preserve">（2）中标人每天应做好日常绿地巡查、养护、移植、补种等工作。 </w:t>
      </w:r>
    </w:p>
    <w:p>
      <w:pPr>
        <w:spacing w:line="460" w:lineRule="atLeast"/>
        <w:ind w:firstLineChars="200" w:firstLine="480"/>
        <w:rPr>
          <w:rFonts w:ascii="宋体" w:eastAsia="宋体" w:cs="宋体"/>
          <w:sz w:val="24"/>
        </w:rPr>
      </w:pPr>
      <w:r>
        <w:rPr>
          <w:rFonts w:ascii="宋体" w:eastAsia="宋体" w:cs="宋体" w:hint="eastAsia"/>
          <w:sz w:val="24"/>
        </w:rPr>
        <w:t xml:space="preserve">（3）认真做好花草树木修剪工作。乔、灌木修剪、梳枝、抹芽每年二遍以上，无二级枯枝，合理调整树势，保证树木骨架均匀，树冠圆整；绿蓠、绿球应勤修剪，每年不少于四遍，保持表面圆整平滑，做到地被植物与花灌木的界线清晰，线条流畅。地被、攀援植物适时修剪，每年不少于二次，并根据季节合理安排修剪时间。 </w:t>
      </w:r>
    </w:p>
    <w:p>
      <w:pPr>
        <w:spacing w:line="460" w:lineRule="atLeast"/>
        <w:ind w:firstLineChars="200" w:firstLine="480"/>
        <w:rPr>
          <w:rFonts w:ascii="宋体" w:eastAsia="宋体" w:cs="宋体"/>
          <w:sz w:val="24"/>
        </w:rPr>
      </w:pPr>
      <w:r>
        <w:rPr>
          <w:rFonts w:ascii="宋体" w:eastAsia="宋体" w:cs="宋体" w:hint="eastAsia"/>
          <w:sz w:val="24"/>
        </w:rPr>
        <w:t xml:space="preserve">（4）认真做好植保工作，适时对花草树木进行治虫抗病工作，确保树木、花卉、草坪无明显病虫害。 </w:t>
      </w:r>
    </w:p>
    <w:p>
      <w:pPr>
        <w:spacing w:line="460" w:lineRule="atLeast"/>
        <w:ind w:firstLineChars="200" w:firstLine="480"/>
        <w:rPr>
          <w:rFonts w:ascii="宋体" w:eastAsia="宋体" w:cs="宋体"/>
          <w:sz w:val="24"/>
        </w:rPr>
      </w:pPr>
      <w:r>
        <w:rPr>
          <w:rFonts w:ascii="宋体" w:eastAsia="宋体" w:cs="宋体" w:hint="eastAsia"/>
          <w:sz w:val="24"/>
        </w:rPr>
        <w:t xml:space="preserve">（5）根据气候变化及时对乔木、灌木、草坪、花卉进行浇水灌溉、抗旱防台、防冻（部分树杆刷白）、除雪、支撑护卫等工作。特别是遇到灾害性气候，应及时做好防护和养护工作。 </w:t>
      </w:r>
    </w:p>
    <w:p>
      <w:pPr>
        <w:spacing w:line="460" w:lineRule="atLeast"/>
        <w:ind w:firstLineChars="200" w:firstLine="480"/>
        <w:rPr>
          <w:rFonts w:ascii="宋体" w:eastAsia="宋体" w:cs="宋体"/>
          <w:sz w:val="24"/>
        </w:rPr>
      </w:pPr>
      <w:r>
        <w:rPr>
          <w:rFonts w:ascii="宋体" w:eastAsia="宋体" w:cs="宋体" w:hint="eastAsia"/>
          <w:sz w:val="24"/>
        </w:rPr>
        <w:t xml:space="preserve">（6）中标人应及时修剪草坪，草坪每年普修2遍，保持草坪面平整有序；同时，对草坪内的杂草、杂物、垃圾必须及时拔除和清理。 </w:t>
      </w:r>
    </w:p>
    <w:p>
      <w:pPr>
        <w:spacing w:line="460" w:lineRule="atLeast"/>
        <w:ind w:firstLineChars="200" w:firstLine="480"/>
        <w:rPr>
          <w:rFonts w:ascii="宋体" w:eastAsia="宋体" w:cs="宋体"/>
          <w:sz w:val="24"/>
        </w:rPr>
      </w:pPr>
      <w:r>
        <w:rPr>
          <w:rFonts w:ascii="宋体" w:eastAsia="宋体" w:cs="宋体" w:hint="eastAsia"/>
          <w:sz w:val="24"/>
        </w:rPr>
        <w:t xml:space="preserve">（7）中标人应根据植物的品种、生长态势和园区绿化管理的要求，有计划地做好施肥松土工作（春冬各一次），按照采购人要求普遍施基肥一遍，部分花灌木增施追肥一次。保持植物生长健壮、形态良好。 </w:t>
      </w:r>
    </w:p>
    <w:p>
      <w:pPr>
        <w:spacing w:line="460" w:lineRule="atLeast"/>
        <w:ind w:firstLineChars="200" w:firstLine="480"/>
        <w:rPr>
          <w:rFonts w:ascii="宋体" w:eastAsia="宋体" w:cs="宋体"/>
          <w:sz w:val="24"/>
        </w:rPr>
      </w:pPr>
      <w:r>
        <w:rPr>
          <w:rFonts w:ascii="宋体" w:eastAsia="宋体" w:cs="宋体" w:hint="eastAsia"/>
          <w:sz w:val="24"/>
        </w:rPr>
        <w:t>（8）中标人应做好园区周边环境的日常卫生工作，清除绿化带、草坪内纸屑、垃圾、枯枝、树叶，对所有绿地及时除草，保持绿地内无杂草、垃圾、杂物、枯枝废叶。</w:t>
      </w:r>
    </w:p>
    <w:p>
      <w:pPr>
        <w:spacing w:line="460" w:lineRule="atLeast"/>
        <w:ind w:firstLineChars="200" w:firstLine="480"/>
        <w:rPr>
          <w:rFonts w:ascii="宋体" w:eastAsia="宋体" w:cs="宋体"/>
          <w:sz w:val="24"/>
        </w:rPr>
      </w:pPr>
      <w:r>
        <w:rPr>
          <w:rFonts w:ascii="宋体" w:eastAsia="宋体" w:cs="宋体" w:hint="eastAsia"/>
          <w:sz w:val="24"/>
        </w:rPr>
        <w:t>（9）养护范围绿化存活及完好率达96%以上，未达到上述标准的，由中标人负责补足相应绿植并承担所有费用。</w:t>
      </w:r>
    </w:p>
    <w:p>
      <w:pPr>
        <w:spacing w:line="460" w:lineRule="atLeast"/>
        <w:ind w:firstLineChars="200" w:firstLine="480"/>
        <w:rPr>
          <w:rFonts w:ascii="宋体" w:eastAsia="宋体" w:cs="宋体"/>
          <w:sz w:val="24"/>
        </w:rPr>
      </w:pPr>
      <w:r>
        <w:rPr>
          <w:rFonts w:ascii="宋体" w:eastAsia="宋体" w:cs="宋体" w:hint="eastAsia"/>
          <w:sz w:val="24"/>
        </w:rPr>
        <w:t>（10）做好领导办公室、会议室、走廊、大厅等绿色植物配置和养护工作。</w:t>
      </w:r>
    </w:p>
    <w:p>
      <w:pPr>
        <w:spacing w:line="460" w:lineRule="atLeast"/>
        <w:ind w:firstLineChars="200" w:firstLine="480"/>
        <w:rPr>
          <w:rFonts w:ascii="宋体" w:eastAsia="宋体" w:cs="宋体"/>
          <w:sz w:val="24"/>
        </w:rPr>
      </w:pPr>
      <w:r>
        <w:rPr>
          <w:rFonts w:ascii="宋体" w:eastAsia="宋体" w:cs="宋体" w:hint="eastAsia"/>
          <w:sz w:val="24"/>
        </w:rPr>
        <w:t xml:space="preserve">（11）其他突发状况或临时管控期间所有区域的绿化按采购人要求完成。  </w:t>
      </w:r>
    </w:p>
    <w:p>
      <w:pPr>
        <w:spacing w:line="460" w:lineRule="atLeast"/>
        <w:ind w:firstLineChars="200" w:firstLine="480"/>
        <w:rPr>
          <w:rFonts w:ascii="宋体" w:eastAsia="宋体" w:cs="宋体"/>
          <w:sz w:val="24"/>
        </w:rPr>
      </w:pPr>
      <w:r>
        <w:rPr>
          <w:rFonts w:ascii="宋体" w:eastAsia="宋体" w:cs="宋体" w:hint="eastAsia"/>
          <w:b/>
          <w:bCs/>
          <w:sz w:val="24"/>
        </w:rPr>
        <w:t xml:space="preserve">（四）保安服务 </w:t>
      </w:r>
    </w:p>
    <w:p>
      <w:pPr>
        <w:spacing w:line="460" w:lineRule="atLeast"/>
        <w:ind w:firstLineChars="200" w:firstLine="480"/>
        <w:rPr>
          <w:rFonts w:ascii="宋体" w:eastAsia="宋体" w:cs="宋体"/>
          <w:sz w:val="24"/>
        </w:rPr>
      </w:pPr>
      <w:r>
        <w:rPr>
          <w:rFonts w:ascii="宋体" w:eastAsia="宋体" w:cs="宋体" w:hint="eastAsia"/>
          <w:sz w:val="24"/>
        </w:rPr>
        <w:t xml:space="preserve">1.服务范围 </w:t>
      </w:r>
    </w:p>
    <w:p>
      <w:pPr>
        <w:spacing w:line="460" w:lineRule="atLeast"/>
        <w:ind w:firstLineChars="200" w:firstLine="480"/>
        <w:rPr>
          <w:rFonts w:ascii="宋体" w:eastAsia="宋体" w:cs="宋体"/>
          <w:sz w:val="24"/>
        </w:rPr>
      </w:pPr>
      <w:r>
        <w:rPr>
          <w:rFonts w:ascii="宋体" w:eastAsia="宋体" w:cs="宋体" w:hint="eastAsia"/>
          <w:sz w:val="24"/>
        </w:rPr>
        <w:t xml:space="preserve">（1）确保工作人员的人身安全和财产安全，维护采购人正常工作和生活秩序。确保围墙、护栏、有形和无形资产安全；确保治安安全和消防、消控、监控等设施设备安全；履行门卫、巡逻、值守等职责；完成采购人布置的各类临时性活动的安全保卫和秩序维护。 </w:t>
      </w:r>
    </w:p>
    <w:p>
      <w:pPr>
        <w:spacing w:line="460" w:lineRule="atLeast"/>
        <w:ind w:firstLineChars="200" w:firstLine="480"/>
        <w:rPr>
          <w:rFonts w:ascii="宋体" w:eastAsia="宋体" w:cs="宋体"/>
          <w:sz w:val="24"/>
        </w:rPr>
      </w:pPr>
      <w:r>
        <w:rPr>
          <w:rFonts w:ascii="宋体" w:eastAsia="宋体" w:cs="宋体" w:hint="eastAsia"/>
          <w:sz w:val="24"/>
        </w:rPr>
        <w:t xml:space="preserve">（2）采用由中标人承担包括人员费用、服装、安保器材等费用的一次性包总价方式。 </w:t>
      </w:r>
    </w:p>
    <w:p>
      <w:pPr>
        <w:spacing w:line="460" w:lineRule="atLeast"/>
        <w:ind w:firstLineChars="200" w:firstLine="480"/>
        <w:rPr>
          <w:rFonts w:ascii="宋体" w:eastAsia="宋体" w:cs="宋体"/>
          <w:sz w:val="24"/>
        </w:rPr>
      </w:pPr>
      <w:r>
        <w:rPr>
          <w:rFonts w:ascii="宋体" w:eastAsia="宋体" w:cs="宋体" w:hint="eastAsia"/>
          <w:sz w:val="24"/>
        </w:rPr>
        <w:t xml:space="preserve">2.服务内容 </w:t>
      </w:r>
    </w:p>
    <w:p>
      <w:pPr>
        <w:spacing w:line="460" w:lineRule="atLeast"/>
        <w:ind w:firstLineChars="200" w:firstLine="480"/>
        <w:rPr>
          <w:rFonts w:ascii="宋体" w:eastAsia="宋体" w:cs="宋体"/>
          <w:sz w:val="24"/>
        </w:rPr>
      </w:pPr>
      <w:r>
        <w:rPr>
          <w:rFonts w:ascii="宋体" w:eastAsia="宋体" w:cs="宋体" w:hint="eastAsia"/>
          <w:sz w:val="24"/>
        </w:rPr>
        <w:t xml:space="preserve">（1）负责治安、消防、消控、交通、室外监控设备运行安全管理，负责防火、防盗、防毒、反恐等工作。 </w:t>
      </w:r>
    </w:p>
    <w:p>
      <w:pPr>
        <w:spacing w:line="460" w:lineRule="atLeast"/>
        <w:ind w:firstLineChars="200" w:firstLine="480"/>
        <w:rPr>
          <w:rFonts w:ascii="宋体" w:eastAsia="宋体" w:cs="宋体"/>
          <w:sz w:val="24"/>
        </w:rPr>
      </w:pPr>
      <w:r>
        <w:rPr>
          <w:rFonts w:ascii="宋体" w:eastAsia="宋体" w:cs="宋体" w:hint="eastAsia"/>
          <w:sz w:val="24"/>
        </w:rPr>
        <w:t xml:space="preserve">（2）负责道路交通安全管理，负责机动车和非机动车行驶速度安全及有序停放管理。 </w:t>
      </w:r>
    </w:p>
    <w:p>
      <w:pPr>
        <w:spacing w:line="460" w:lineRule="atLeast"/>
        <w:ind w:firstLineChars="200" w:firstLine="480"/>
        <w:rPr>
          <w:rFonts w:ascii="宋体" w:eastAsia="宋体" w:cs="宋体"/>
          <w:sz w:val="24"/>
        </w:rPr>
      </w:pPr>
      <w:r>
        <w:rPr>
          <w:rFonts w:ascii="宋体" w:eastAsia="宋体" w:cs="宋体" w:hint="eastAsia"/>
          <w:sz w:val="24"/>
        </w:rPr>
        <w:t xml:space="preserve">（3）治安案件及其他突发事件处理，切实维护公共安全秩序。 </w:t>
      </w:r>
    </w:p>
    <w:p>
      <w:pPr>
        <w:spacing w:line="460" w:lineRule="atLeast"/>
        <w:ind w:firstLineChars="200" w:firstLine="480"/>
        <w:rPr>
          <w:rFonts w:ascii="宋体" w:eastAsia="宋体" w:cs="宋体"/>
          <w:sz w:val="24"/>
        </w:rPr>
      </w:pPr>
      <w:r>
        <w:rPr>
          <w:rFonts w:ascii="宋体" w:eastAsia="宋体" w:cs="宋体" w:hint="eastAsia"/>
          <w:sz w:val="24"/>
        </w:rPr>
        <w:t>（4）保安人员和门卫的管理。</w:t>
      </w:r>
    </w:p>
    <w:p>
      <w:pPr>
        <w:spacing w:line="460" w:lineRule="atLeast"/>
        <w:ind w:firstLineChars="200" w:firstLine="480"/>
        <w:rPr>
          <w:rFonts w:ascii="宋体" w:cs="宋体"/>
          <w:sz w:val="24"/>
        </w:rPr>
      </w:pPr>
      <w:r>
        <w:rPr>
          <w:rFonts w:ascii="宋体" w:cs="宋体" w:hint="eastAsia"/>
          <w:sz w:val="24"/>
        </w:rPr>
        <w:t xml:space="preserve">①门卫人员要有高度的责任感，准时上岗，不得擅自离岗。按时做好大门的开关工作，做到门开人在。 </w:t>
      </w:r>
    </w:p>
    <w:p>
      <w:pPr>
        <w:spacing w:line="460" w:lineRule="atLeast"/>
        <w:ind w:firstLineChars="200" w:firstLine="480"/>
        <w:rPr>
          <w:rFonts w:ascii="宋体" w:cs="宋体"/>
          <w:sz w:val="24"/>
        </w:rPr>
      </w:pPr>
      <w:r>
        <w:rPr>
          <w:rFonts w:ascii="宋体" w:cs="宋体" w:hint="eastAsia"/>
          <w:sz w:val="24"/>
        </w:rPr>
        <w:t>②凡来访人员，须问清情况填写来访登记单，征得有关部门人员同意后，方可放行，并维护好交通秩序。闲杂人等不得放进入办公区。</w:t>
      </w:r>
    </w:p>
    <w:p>
      <w:pPr>
        <w:spacing w:line="460" w:lineRule="atLeast"/>
        <w:ind w:firstLineChars="200" w:firstLine="480"/>
        <w:rPr>
          <w:rFonts w:ascii="宋体" w:eastAsia="宋体" w:cs="宋体"/>
          <w:sz w:val="24"/>
        </w:rPr>
      </w:pPr>
      <w:r>
        <w:rPr>
          <w:rFonts w:ascii="宋体" w:cs="宋体" w:hint="eastAsia"/>
          <w:sz w:val="24"/>
        </w:rPr>
        <w:t>③</w:t>
      </w:r>
      <w:r>
        <w:rPr>
          <w:rFonts w:ascii="宋体" w:eastAsia="宋体" w:cs="宋体" w:hint="eastAsia"/>
          <w:sz w:val="24"/>
        </w:rPr>
        <w:t>做好报刊、信件及单位快件收发、及物件寄存等，并根据其他突发状况或临时管控期间的情况采取妥善的管理措施。</w:t>
      </w:r>
    </w:p>
    <w:p>
      <w:pPr>
        <w:spacing w:line="460" w:lineRule="atLeast"/>
        <w:ind w:firstLineChars="200" w:firstLine="480"/>
        <w:rPr>
          <w:rFonts w:ascii="宋体" w:cs="宋体"/>
          <w:sz w:val="24"/>
        </w:rPr>
      </w:pPr>
      <w:r>
        <w:rPr>
          <w:rFonts w:ascii="宋体" w:cs="宋体" w:hint="eastAsia"/>
          <w:sz w:val="24"/>
        </w:rPr>
        <w:t>④检查各办公室、车库等电灯、电扇、门、窗是否关好，发现未关，应及时妥善处理。</w:t>
      </w:r>
    </w:p>
    <w:p>
      <w:pPr>
        <w:spacing w:line="460" w:lineRule="atLeast"/>
        <w:ind w:firstLineChars="200" w:firstLine="480"/>
        <w:rPr>
          <w:rFonts w:ascii="宋体" w:cs="宋体"/>
          <w:sz w:val="24"/>
        </w:rPr>
      </w:pPr>
      <w:r>
        <w:rPr>
          <w:rFonts w:ascii="宋体" w:cs="宋体" w:hint="eastAsia"/>
          <w:sz w:val="24"/>
        </w:rPr>
        <w:t>⑤晚上值班要定时巡视，做好防火、防盗等安全防范工作，发现有不安全苗头，应做到及时处置，防止蔓延，必要时应向公安部门报警。</w:t>
      </w:r>
    </w:p>
    <w:p>
      <w:pPr>
        <w:spacing w:line="460" w:lineRule="atLeast"/>
        <w:ind w:firstLineChars="200" w:firstLine="480"/>
        <w:rPr>
          <w:rFonts w:ascii="宋体" w:eastAsia="宋体" w:cs="宋体"/>
          <w:sz w:val="24"/>
        </w:rPr>
      </w:pPr>
      <w:r>
        <w:rPr>
          <w:rFonts w:ascii="宋体" w:eastAsia="宋体" w:cs="宋体" w:hint="eastAsia"/>
          <w:sz w:val="24"/>
        </w:rPr>
        <w:t xml:space="preserve">（5）负责对办公楼和地下车库灯光照明，亮丽工程等设施监护等。 </w:t>
      </w:r>
    </w:p>
    <w:p>
      <w:pPr>
        <w:spacing w:line="460" w:lineRule="atLeast"/>
        <w:ind w:firstLineChars="200" w:firstLine="480"/>
        <w:rPr>
          <w:rFonts w:ascii="宋体" w:eastAsia="宋体" w:cs="宋体"/>
          <w:sz w:val="24"/>
        </w:rPr>
      </w:pPr>
      <w:r>
        <w:rPr>
          <w:rFonts w:ascii="宋体" w:eastAsia="宋体" w:cs="宋体" w:hint="eastAsia"/>
          <w:sz w:val="24"/>
        </w:rPr>
        <w:t xml:space="preserve">（6）负责范围内治安巡查。 </w:t>
      </w:r>
    </w:p>
    <w:p>
      <w:pPr>
        <w:spacing w:line="460" w:lineRule="atLeast"/>
        <w:ind w:firstLineChars="200" w:firstLine="480"/>
        <w:rPr>
          <w:rFonts w:ascii="宋体" w:eastAsia="宋体" w:cs="宋体"/>
          <w:sz w:val="24"/>
        </w:rPr>
      </w:pPr>
      <w:r>
        <w:rPr>
          <w:rFonts w:ascii="宋体" w:eastAsia="宋体" w:cs="宋体" w:hint="eastAsia"/>
          <w:sz w:val="24"/>
        </w:rPr>
        <w:t>（7）完成领导布置的其它临时性工作。</w:t>
      </w:r>
    </w:p>
    <w:p>
      <w:pPr>
        <w:spacing w:line="460" w:lineRule="atLeast"/>
        <w:ind w:firstLineChars="200" w:firstLine="480"/>
        <w:rPr>
          <w:rFonts w:ascii="宋体" w:eastAsia="宋体" w:cs="宋体"/>
          <w:sz w:val="24"/>
        </w:rPr>
      </w:pPr>
      <w:r>
        <w:rPr>
          <w:rFonts w:ascii="宋体" w:eastAsia="宋体" w:cs="宋体" w:hint="eastAsia"/>
          <w:sz w:val="24"/>
        </w:rPr>
        <w:t xml:space="preserve">★3、服务要求 </w:t>
      </w:r>
    </w:p>
    <w:p>
      <w:pPr>
        <w:spacing w:line="460" w:lineRule="atLeast"/>
        <w:ind w:firstLineChars="200" w:firstLine="480"/>
        <w:rPr>
          <w:rFonts w:ascii="宋体" w:eastAsia="宋体" w:cs="宋体"/>
          <w:sz w:val="24"/>
        </w:rPr>
      </w:pPr>
      <w:r>
        <w:rPr>
          <w:rFonts w:ascii="宋体" w:eastAsia="宋体" w:cs="宋体" w:hint="eastAsia"/>
          <w:sz w:val="24"/>
        </w:rPr>
        <w:t>（1）岗位要求不得少于10人。</w:t>
      </w:r>
    </w:p>
    <w:p>
      <w:pPr>
        <w:spacing w:line="460" w:lineRule="atLeast"/>
        <w:ind w:firstLineChars="200" w:firstLine="480"/>
        <w:rPr>
          <w:rFonts w:ascii="宋体" w:eastAsia="宋体" w:cs="宋体"/>
          <w:sz w:val="24"/>
        </w:rPr>
      </w:pPr>
      <w:r>
        <w:rPr>
          <w:rFonts w:ascii="宋体" w:eastAsia="宋体" w:cs="宋体" w:hint="eastAsia"/>
          <w:sz w:val="24"/>
        </w:rPr>
        <w:t xml:space="preserve">①出入口双岗三班 24小时值班无休息； </w:t>
      </w:r>
    </w:p>
    <w:p>
      <w:pPr>
        <w:spacing w:line="460" w:lineRule="atLeast"/>
        <w:ind w:firstLineChars="200" w:firstLine="480"/>
        <w:rPr>
          <w:rFonts w:ascii="宋体" w:eastAsia="宋体" w:cs="宋体"/>
          <w:sz w:val="24"/>
        </w:rPr>
      </w:pPr>
      <w:r>
        <w:rPr>
          <w:rFonts w:ascii="宋体" w:eastAsia="宋体" w:cs="宋体" w:hint="eastAsia"/>
          <w:sz w:val="24"/>
        </w:rPr>
        <w:t xml:space="preserve">②内部及地下车库巡逻：双岗三班24小时值班无休息； </w:t>
      </w:r>
    </w:p>
    <w:p>
      <w:pPr>
        <w:spacing w:line="460" w:lineRule="atLeast"/>
        <w:ind w:firstLineChars="200" w:firstLine="480"/>
        <w:rPr>
          <w:rFonts w:ascii="宋体" w:eastAsia="宋体" w:cs="宋体"/>
          <w:sz w:val="24"/>
        </w:rPr>
      </w:pPr>
      <w:r>
        <w:rPr>
          <w:rFonts w:ascii="宋体" w:eastAsia="宋体" w:cs="宋体" w:hint="eastAsia"/>
          <w:sz w:val="24"/>
        </w:rPr>
        <w:t>③两处消控中心24小时值班（持证上岗）。</w:t>
      </w:r>
    </w:p>
    <w:p>
      <w:pPr>
        <w:spacing w:line="460" w:lineRule="atLeast"/>
        <w:ind w:firstLineChars="200" w:firstLine="480"/>
        <w:rPr>
          <w:rFonts w:ascii="宋体" w:eastAsia="宋体" w:cs="宋体"/>
          <w:sz w:val="24"/>
        </w:rPr>
      </w:pPr>
      <w:r>
        <w:rPr>
          <w:rFonts w:ascii="宋体" w:eastAsia="宋体" w:cs="宋体" w:hint="eastAsia"/>
          <w:sz w:val="24"/>
        </w:rPr>
        <w:t xml:space="preserve">（2）保安人员素质要求 </w:t>
      </w:r>
    </w:p>
    <w:p>
      <w:pPr>
        <w:spacing w:line="460" w:lineRule="atLeast"/>
        <w:ind w:firstLineChars="200" w:firstLine="480"/>
        <w:rPr>
          <w:rFonts w:ascii="宋体" w:eastAsia="宋体" w:cs="宋体"/>
          <w:sz w:val="24"/>
        </w:rPr>
      </w:pPr>
      <w:r>
        <w:rPr>
          <w:rFonts w:ascii="宋体" w:eastAsia="宋体" w:cs="宋体" w:hint="eastAsia"/>
          <w:sz w:val="24"/>
        </w:rPr>
        <w:t xml:space="preserve">①保安人员实施准军事化管理，统一作息、统一持证上岗、统一着装（保持着装整洁）、统一装备以及集中招聘、集中培训、集中管理。 </w:t>
      </w:r>
    </w:p>
    <w:p>
      <w:pPr>
        <w:spacing w:line="460" w:lineRule="atLeast"/>
        <w:ind w:firstLineChars="200" w:firstLine="480"/>
        <w:rPr>
          <w:rFonts w:ascii="宋体" w:eastAsia="宋体" w:cs="宋体"/>
          <w:sz w:val="24"/>
        </w:rPr>
      </w:pPr>
      <w:r>
        <w:rPr>
          <w:rFonts w:ascii="宋体" w:eastAsia="宋体" w:cs="宋体" w:hint="eastAsia"/>
          <w:sz w:val="24"/>
        </w:rPr>
        <w:t>②强化保安员的服务意识，提高服务质量。</w:t>
      </w:r>
    </w:p>
    <w:p>
      <w:pPr>
        <w:spacing w:line="460" w:lineRule="atLeast"/>
        <w:ind w:firstLineChars="200" w:firstLine="480"/>
        <w:rPr>
          <w:rFonts w:ascii="宋体" w:eastAsia="宋体" w:cs="宋体"/>
          <w:sz w:val="24"/>
        </w:rPr>
      </w:pPr>
      <w:r>
        <w:rPr>
          <w:rFonts w:ascii="宋体" w:eastAsia="宋体" w:cs="宋体" w:hint="eastAsia"/>
          <w:sz w:val="24"/>
        </w:rPr>
        <w:t xml:space="preserve">③采用固定保安岗亭与流动岗位相结合的设置，对办公区实行动态监控管理。机动巡逻负责办公区整体外围、地下车库等的安全巡视，时间无规律。每两小时一次定时巡逻，负责公共区域的安全巡视、重点防范部位及治安死角的安全巡视。确保管理不出现盲点。 </w:t>
      </w:r>
    </w:p>
    <w:p>
      <w:pPr>
        <w:spacing w:line="460" w:lineRule="atLeast"/>
        <w:ind w:firstLineChars="200" w:firstLine="480"/>
        <w:rPr>
          <w:rFonts w:ascii="宋体" w:eastAsia="宋体" w:cs="宋体"/>
          <w:sz w:val="24"/>
        </w:rPr>
      </w:pPr>
      <w:r>
        <w:rPr>
          <w:rFonts w:ascii="宋体" w:eastAsia="宋体" w:cs="宋体" w:hint="eastAsia"/>
          <w:sz w:val="24"/>
        </w:rPr>
        <w:t xml:space="preserve">④在防范的策略上强调服从海关的统筹指导。 </w:t>
      </w:r>
    </w:p>
    <w:p>
      <w:pPr>
        <w:spacing w:line="460" w:lineRule="atLeast"/>
        <w:ind w:firstLineChars="200" w:firstLine="480"/>
        <w:rPr>
          <w:rFonts w:ascii="宋体" w:eastAsia="宋体" w:cs="宋体"/>
          <w:sz w:val="24"/>
        </w:rPr>
      </w:pPr>
      <w:r>
        <w:rPr>
          <w:rFonts w:ascii="宋体" w:eastAsia="宋体" w:cs="宋体" w:hint="eastAsia"/>
          <w:sz w:val="24"/>
        </w:rPr>
        <w:t>⑤发挥治安固定岗的作用，管理处其他员工亦应担负起安全管理和防范的义务，建立起“快速支援”体系。</w:t>
      </w:r>
    </w:p>
    <w:p>
      <w:pPr>
        <w:spacing w:line="460" w:lineRule="atLeast"/>
        <w:ind w:firstLineChars="200" w:firstLine="480"/>
        <w:rPr>
          <w:rFonts w:ascii="宋体" w:eastAsia="宋体" w:cs="宋体"/>
          <w:sz w:val="24"/>
        </w:rPr>
      </w:pPr>
      <w:r>
        <w:rPr>
          <w:rFonts w:ascii="宋体" w:eastAsia="宋体" w:cs="宋体" w:hint="eastAsia"/>
          <w:sz w:val="24"/>
        </w:rPr>
        <w:t>⑥没有犯罪记录。</w:t>
      </w:r>
    </w:p>
    <w:p>
      <w:pPr>
        <w:spacing w:line="460" w:lineRule="atLeast"/>
        <w:ind w:firstLineChars="200" w:firstLine="480"/>
        <w:rPr>
          <w:rFonts w:ascii="宋体" w:eastAsia="宋体" w:cs="宋体"/>
          <w:sz w:val="24"/>
        </w:rPr>
      </w:pPr>
      <w:r>
        <w:rPr>
          <w:rFonts w:ascii="宋体" w:eastAsia="宋体" w:cs="宋体" w:hint="eastAsia"/>
          <w:sz w:val="24"/>
        </w:rPr>
        <w:t xml:space="preserve">（3）治安管理要求 </w:t>
      </w:r>
    </w:p>
    <w:p>
      <w:pPr>
        <w:spacing w:line="460" w:lineRule="atLeast"/>
        <w:ind w:firstLineChars="200" w:firstLine="480"/>
        <w:rPr>
          <w:rFonts w:ascii="宋体" w:eastAsia="宋体" w:cs="宋体"/>
          <w:sz w:val="24"/>
        </w:rPr>
      </w:pPr>
      <w:r>
        <w:rPr>
          <w:rFonts w:ascii="宋体" w:eastAsia="宋体" w:cs="宋体" w:hint="eastAsia"/>
          <w:sz w:val="24"/>
        </w:rPr>
        <w:t xml:space="preserve">①保安人员实行二十四小时门岗执勤、巡逻。 </w:t>
      </w:r>
    </w:p>
    <w:p>
      <w:pPr>
        <w:spacing w:line="460" w:lineRule="atLeast"/>
        <w:ind w:firstLineChars="200" w:firstLine="480"/>
        <w:rPr>
          <w:rFonts w:ascii="宋体" w:eastAsia="宋体" w:cs="宋体"/>
          <w:sz w:val="24"/>
        </w:rPr>
      </w:pPr>
      <w:r>
        <w:rPr>
          <w:rFonts w:ascii="宋体" w:eastAsia="宋体" w:cs="宋体" w:hint="eastAsia"/>
          <w:sz w:val="24"/>
        </w:rPr>
        <w:t xml:space="preserve">②执勤保安对来访人员实行有效控制，来访人员必须说明要访人员姓名，由保安核准登记并联系来访工作对接人同意后方可进入。 </w:t>
      </w:r>
    </w:p>
    <w:p>
      <w:pPr>
        <w:spacing w:line="460" w:lineRule="atLeast"/>
        <w:ind w:firstLineChars="200" w:firstLine="480"/>
        <w:rPr>
          <w:rFonts w:ascii="宋体" w:eastAsia="宋体" w:cs="宋体"/>
          <w:sz w:val="24"/>
        </w:rPr>
      </w:pPr>
      <w:r>
        <w:rPr>
          <w:rFonts w:ascii="宋体" w:eastAsia="宋体" w:cs="宋体" w:hint="eastAsia"/>
          <w:sz w:val="24"/>
        </w:rPr>
        <w:t xml:space="preserve">③执勤保安负责办公区机动车辆、非机动车的管理；所有进出车辆统一管理，维护办公区内交通秩序，保障办公区车辆安全。 </w:t>
      </w:r>
    </w:p>
    <w:p>
      <w:pPr>
        <w:spacing w:line="460" w:lineRule="atLeast"/>
        <w:ind w:firstLineChars="200" w:firstLine="480"/>
        <w:rPr>
          <w:rFonts w:ascii="宋体" w:eastAsia="宋体" w:cs="宋体"/>
          <w:sz w:val="24"/>
        </w:rPr>
      </w:pPr>
      <w:r>
        <w:rPr>
          <w:rFonts w:ascii="宋体" w:eastAsia="宋体" w:cs="宋体" w:hint="eastAsia"/>
          <w:sz w:val="24"/>
        </w:rPr>
        <w:t xml:space="preserve">④严禁任何推销人员进入，禁止各类修补、买卖、收购等闲杂人员出入办公区。 </w:t>
      </w:r>
    </w:p>
    <w:p>
      <w:pPr>
        <w:spacing w:line="460" w:lineRule="atLeast"/>
        <w:ind w:firstLineChars="200" w:firstLine="480"/>
        <w:rPr>
          <w:rFonts w:ascii="宋体" w:eastAsia="宋体" w:cs="宋体"/>
          <w:sz w:val="24"/>
        </w:rPr>
      </w:pPr>
      <w:r>
        <w:rPr>
          <w:rFonts w:ascii="宋体" w:eastAsia="宋体" w:cs="宋体" w:hint="eastAsia"/>
          <w:sz w:val="24"/>
        </w:rPr>
        <w:t xml:space="preserve">⑤发生治安、消防、交通、食品、心理等安全方面的突发事件时，值勤保安要挺身而出，依法维护办公区工作人员的合法利益，及时采取措施，维护现场秩序，及时通知有关部门，做好善后工作。 </w:t>
      </w:r>
    </w:p>
    <w:p>
      <w:pPr>
        <w:spacing w:line="460" w:lineRule="atLeast"/>
        <w:ind w:firstLineChars="200" w:firstLine="480"/>
        <w:rPr>
          <w:rFonts w:ascii="宋体" w:eastAsia="宋体" w:cs="宋体"/>
          <w:sz w:val="24"/>
        </w:rPr>
      </w:pPr>
      <w:r>
        <w:rPr>
          <w:rFonts w:ascii="宋体" w:eastAsia="宋体" w:cs="宋体" w:hint="eastAsia"/>
          <w:sz w:val="24"/>
        </w:rPr>
        <w:t xml:space="preserve">⑥对下列行为，保安应及时劝阻，不听劝阻的，采取有效措施坚决制止： </w:t>
      </w:r>
    </w:p>
    <w:p>
      <w:pPr>
        <w:spacing w:line="460" w:lineRule="atLeast"/>
        <w:ind w:firstLineChars="200" w:firstLine="480"/>
        <w:rPr>
          <w:rFonts w:ascii="宋体" w:eastAsia="宋体" w:cs="宋体"/>
          <w:sz w:val="24"/>
        </w:rPr>
      </w:pPr>
      <w:r>
        <w:rPr>
          <w:rFonts w:ascii="宋体" w:eastAsia="宋体" w:cs="宋体" w:hint="eastAsia"/>
          <w:sz w:val="24"/>
        </w:rPr>
        <w:t xml:space="preserve">a、随意停放车辆；             b、占用消防通道或其它公共区域； </w:t>
      </w:r>
    </w:p>
    <w:p>
      <w:pPr>
        <w:spacing w:line="460" w:lineRule="atLeast"/>
        <w:ind w:firstLineChars="200" w:firstLine="480"/>
        <w:rPr>
          <w:rFonts w:ascii="宋体" w:eastAsia="宋体" w:cs="宋体"/>
          <w:sz w:val="24"/>
        </w:rPr>
      </w:pPr>
      <w:r>
        <w:rPr>
          <w:rFonts w:ascii="宋体" w:eastAsia="宋体" w:cs="宋体" w:hint="eastAsia"/>
          <w:sz w:val="24"/>
        </w:rPr>
        <w:t xml:space="preserve">c、损坏公共设施；             d、聚众喧哗，醺酒闹事； </w:t>
      </w:r>
    </w:p>
    <w:p>
      <w:pPr>
        <w:spacing w:line="460" w:lineRule="atLeast"/>
        <w:ind w:firstLineChars="200" w:firstLine="480"/>
        <w:rPr>
          <w:rFonts w:ascii="宋体" w:eastAsia="宋体" w:cs="宋体"/>
          <w:sz w:val="24"/>
        </w:rPr>
      </w:pPr>
      <w:r>
        <w:rPr>
          <w:rFonts w:ascii="宋体" w:eastAsia="宋体" w:cs="宋体" w:hint="eastAsia"/>
          <w:sz w:val="24"/>
        </w:rPr>
        <w:t xml:space="preserve">f、损坏他人财物；             g、发出噪音，影响他人办公； </w:t>
      </w:r>
    </w:p>
    <w:p>
      <w:pPr>
        <w:spacing w:line="460" w:lineRule="atLeast"/>
        <w:ind w:firstLineChars="200" w:firstLine="480"/>
        <w:rPr>
          <w:rFonts w:ascii="宋体" w:eastAsia="宋体" w:cs="宋体"/>
          <w:sz w:val="24"/>
        </w:rPr>
      </w:pPr>
      <w:r>
        <w:rPr>
          <w:rFonts w:ascii="宋体" w:eastAsia="宋体" w:cs="宋体" w:hint="eastAsia"/>
          <w:sz w:val="24"/>
        </w:rPr>
        <w:t xml:space="preserve">h、有危害办公区的其他不安全行为。 </w:t>
      </w:r>
    </w:p>
    <w:p>
      <w:pPr>
        <w:spacing w:line="460" w:lineRule="atLeast"/>
        <w:ind w:firstLineChars="200" w:firstLine="480"/>
        <w:rPr>
          <w:rFonts w:ascii="宋体" w:eastAsia="宋体" w:cs="宋体"/>
          <w:sz w:val="24"/>
        </w:rPr>
      </w:pPr>
      <w:r>
        <w:rPr>
          <w:rFonts w:ascii="宋体" w:eastAsia="宋体" w:cs="宋体" w:hint="eastAsia"/>
          <w:sz w:val="24"/>
        </w:rPr>
        <w:t xml:space="preserve">（4）车辆及交通管理要求 </w:t>
      </w:r>
    </w:p>
    <w:p>
      <w:pPr>
        <w:spacing w:line="460" w:lineRule="atLeast"/>
        <w:ind w:firstLineChars="200" w:firstLine="480"/>
        <w:rPr>
          <w:rFonts w:ascii="宋体" w:eastAsia="宋体" w:cs="宋体"/>
          <w:sz w:val="24"/>
        </w:rPr>
      </w:pPr>
      <w:r>
        <w:rPr>
          <w:rFonts w:ascii="宋体" w:eastAsia="宋体" w:cs="宋体" w:hint="eastAsia"/>
          <w:sz w:val="24"/>
        </w:rPr>
        <w:t xml:space="preserve">对机动车辆： </w:t>
      </w:r>
    </w:p>
    <w:p>
      <w:pPr>
        <w:spacing w:line="460" w:lineRule="atLeast"/>
        <w:ind w:firstLineChars="200" w:firstLine="480"/>
        <w:rPr>
          <w:rFonts w:ascii="宋体" w:eastAsia="宋体" w:cs="宋体"/>
          <w:sz w:val="24"/>
        </w:rPr>
      </w:pPr>
      <w:r>
        <w:rPr>
          <w:rFonts w:ascii="宋体" w:eastAsia="宋体" w:cs="宋体" w:hint="eastAsia"/>
          <w:sz w:val="24"/>
        </w:rPr>
        <w:t xml:space="preserve">①出入口岗保安人员在出入口协助疏导车辆进出。同时，执勤保安应对进入办公区的车辆进行正确引导，加强巡视，安排车辆合理停放。 </w:t>
      </w:r>
    </w:p>
    <w:p>
      <w:pPr>
        <w:spacing w:line="460" w:lineRule="atLeast"/>
        <w:ind w:firstLineChars="200" w:firstLine="480"/>
        <w:rPr>
          <w:rFonts w:ascii="宋体" w:eastAsia="宋体" w:cs="宋体"/>
          <w:sz w:val="24"/>
        </w:rPr>
      </w:pPr>
      <w:r>
        <w:rPr>
          <w:rFonts w:ascii="宋体" w:eastAsia="宋体" w:cs="宋体" w:hint="eastAsia"/>
          <w:sz w:val="24"/>
        </w:rPr>
        <w:t xml:space="preserve">②强化执勤保安的巡逻职责，维护秩序。 </w:t>
      </w:r>
    </w:p>
    <w:p>
      <w:pPr>
        <w:spacing w:line="460" w:lineRule="atLeast"/>
        <w:ind w:firstLineChars="200" w:firstLine="480"/>
        <w:rPr>
          <w:rFonts w:ascii="宋体" w:eastAsia="宋体" w:cs="宋体"/>
          <w:sz w:val="24"/>
        </w:rPr>
      </w:pPr>
      <w:r>
        <w:rPr>
          <w:rFonts w:ascii="宋体" w:eastAsia="宋体" w:cs="宋体" w:hint="eastAsia"/>
          <w:sz w:val="24"/>
        </w:rPr>
        <w:t xml:space="preserve">对非机动车： </w:t>
      </w:r>
    </w:p>
    <w:p>
      <w:pPr>
        <w:spacing w:line="460" w:lineRule="atLeast"/>
        <w:ind w:firstLineChars="200" w:firstLine="480"/>
        <w:rPr>
          <w:rFonts w:ascii="宋体" w:eastAsia="宋体" w:cs="宋体"/>
          <w:sz w:val="24"/>
        </w:rPr>
      </w:pPr>
      <w:r>
        <w:rPr>
          <w:rFonts w:ascii="宋体" w:eastAsia="宋体" w:cs="宋体" w:hint="eastAsia"/>
          <w:sz w:val="24"/>
        </w:rPr>
        <w:t>①引导车辆停放在指定的地方。</w:t>
      </w:r>
    </w:p>
    <w:p>
      <w:pPr>
        <w:spacing w:line="460" w:lineRule="atLeast"/>
        <w:ind w:firstLineChars="200" w:firstLine="480"/>
        <w:rPr>
          <w:rFonts w:ascii="宋体" w:eastAsia="宋体" w:cs="宋体"/>
          <w:sz w:val="24"/>
        </w:rPr>
      </w:pPr>
      <w:r>
        <w:rPr>
          <w:rFonts w:ascii="宋体" w:eastAsia="宋体" w:cs="宋体" w:hint="eastAsia"/>
          <w:sz w:val="24"/>
        </w:rPr>
        <w:t xml:space="preserve">②在非机动车存放点加强巡逻。 </w:t>
      </w:r>
    </w:p>
    <w:p>
      <w:pPr>
        <w:spacing w:line="460" w:lineRule="atLeast"/>
        <w:ind w:firstLineChars="200" w:firstLine="480"/>
        <w:rPr>
          <w:rFonts w:ascii="宋体" w:eastAsia="宋体" w:cs="宋体"/>
          <w:sz w:val="24"/>
        </w:rPr>
      </w:pPr>
      <w:r>
        <w:rPr>
          <w:rFonts w:ascii="宋体" w:eastAsia="宋体" w:cs="宋体" w:hint="eastAsia"/>
          <w:sz w:val="24"/>
        </w:rPr>
        <w:t xml:space="preserve">（5）服务质量要求： </w:t>
      </w:r>
    </w:p>
    <w:p>
      <w:pPr>
        <w:spacing w:line="460" w:lineRule="atLeast"/>
        <w:ind w:firstLineChars="200" w:firstLine="480"/>
        <w:rPr>
          <w:rFonts w:ascii="宋体" w:eastAsia="宋体" w:cs="宋体"/>
          <w:sz w:val="24"/>
        </w:rPr>
      </w:pPr>
      <w:r>
        <w:rPr>
          <w:rFonts w:ascii="宋体" w:eastAsia="宋体" w:cs="宋体" w:hint="eastAsia"/>
          <w:sz w:val="24"/>
        </w:rPr>
        <w:t xml:space="preserve">①门卫值班。 </w:t>
      </w:r>
    </w:p>
    <w:p>
      <w:pPr>
        <w:spacing w:line="460" w:lineRule="atLeast"/>
        <w:ind w:firstLineChars="200" w:firstLine="480"/>
        <w:rPr>
          <w:rFonts w:ascii="宋体" w:eastAsia="宋体" w:cs="宋体"/>
          <w:sz w:val="24"/>
        </w:rPr>
      </w:pPr>
      <w:r>
        <w:rPr>
          <w:rFonts w:ascii="宋体" w:eastAsia="宋体" w:cs="宋体" w:hint="eastAsia"/>
          <w:sz w:val="24"/>
        </w:rPr>
        <w:t xml:space="preserve">出入口应安排 24 小时执勤，建立收发、传达、保安、车辆、道路及公共秩序管理等制度。用语规范，礼貌待客，文明工作。严格验证、登记制度，杜绝闲杂人员（包括送外卖）进入，维护办公区正常的工作和生活环境。对物品进出实施分类管理，实行物品进出审验制度，杜绝危险物品进入办公区。 </w:t>
      </w:r>
    </w:p>
    <w:p>
      <w:pPr>
        <w:spacing w:line="460" w:lineRule="atLeast"/>
        <w:ind w:firstLineChars="200" w:firstLine="480"/>
        <w:rPr>
          <w:rFonts w:ascii="宋体" w:eastAsia="宋体" w:cs="宋体"/>
          <w:sz w:val="24"/>
        </w:rPr>
      </w:pPr>
      <w:r>
        <w:rPr>
          <w:rFonts w:ascii="宋体" w:eastAsia="宋体" w:cs="宋体" w:hint="eastAsia"/>
          <w:sz w:val="24"/>
        </w:rPr>
        <w:t xml:space="preserve">②巡视检查。 </w:t>
      </w:r>
    </w:p>
    <w:p>
      <w:pPr>
        <w:spacing w:line="460" w:lineRule="atLeast"/>
        <w:ind w:firstLineChars="200" w:firstLine="480"/>
        <w:rPr>
          <w:rFonts w:ascii="宋体" w:eastAsia="宋体" w:cs="宋体"/>
          <w:sz w:val="24"/>
        </w:rPr>
      </w:pPr>
      <w:r>
        <w:rPr>
          <w:rFonts w:ascii="宋体" w:eastAsia="宋体" w:cs="宋体" w:hint="eastAsia"/>
          <w:sz w:val="24"/>
        </w:rPr>
        <w:t xml:space="preserve">明确巡视工作职责，规范巡视工作流程，制定相对固定的巡视路线，对重要区域、部位、设备机房等地，进行重点巡视并记录巡视情况，及时发现和处理各种安全和事故隐患。监控室应 24 小时有人值守看监控，保持巡更记录。在接到监控室发出的指令后，执勤保安应及时到达事发现场，采取相应措施妥善处理；如巡视中发现异常情况，应立即通知有关部门并在现场采取必要措施，随时准备启动并执行相应的应急预案。 </w:t>
      </w:r>
    </w:p>
    <w:p>
      <w:pPr>
        <w:spacing w:line="460" w:lineRule="atLeast"/>
        <w:ind w:firstLineChars="200" w:firstLine="480"/>
        <w:rPr>
          <w:rFonts w:ascii="宋体" w:eastAsia="宋体" w:cs="宋体"/>
          <w:sz w:val="24"/>
        </w:rPr>
      </w:pPr>
      <w:r>
        <w:rPr>
          <w:rFonts w:ascii="宋体" w:eastAsia="宋体" w:cs="宋体" w:hint="eastAsia"/>
          <w:sz w:val="24"/>
        </w:rPr>
        <w:t xml:space="preserve">③协助消控、监控室值班。 </w:t>
      </w:r>
    </w:p>
    <w:p>
      <w:pPr>
        <w:spacing w:line="460" w:lineRule="atLeast"/>
        <w:ind w:firstLineChars="200" w:firstLine="480"/>
        <w:rPr>
          <w:rFonts w:ascii="宋体" w:eastAsia="宋体" w:cs="宋体"/>
          <w:sz w:val="24"/>
        </w:rPr>
      </w:pPr>
      <w:r>
        <w:rPr>
          <w:rFonts w:ascii="宋体" w:eastAsia="宋体" w:cs="宋体" w:hint="eastAsia"/>
          <w:sz w:val="24"/>
        </w:rPr>
        <w:t xml:space="preserve">对消防、消控、室外监控设施的运行24 小时开通并值守，配合消控、监控人员开展工作，保证对办公区各出入口、内部重点区域的安全监控、录像及协助布警。监控室及保安人员收到火情、险情及其他异常情况报警信号后，应及时报警，并派专人赶到现场进行前期处理。 </w:t>
      </w:r>
    </w:p>
    <w:p>
      <w:pPr>
        <w:spacing w:line="460" w:lineRule="atLeast"/>
        <w:ind w:firstLineChars="200" w:firstLine="480"/>
        <w:rPr>
          <w:rFonts w:ascii="宋体" w:eastAsia="宋体" w:cs="宋体"/>
          <w:sz w:val="24"/>
        </w:rPr>
      </w:pPr>
      <w:r>
        <w:rPr>
          <w:rFonts w:ascii="宋体" w:eastAsia="宋体" w:cs="宋体" w:hint="eastAsia"/>
          <w:sz w:val="24"/>
        </w:rPr>
        <w:t xml:space="preserve">④停车管理。 </w:t>
      </w:r>
    </w:p>
    <w:p>
      <w:pPr>
        <w:spacing w:line="460" w:lineRule="atLeast"/>
        <w:ind w:firstLineChars="200" w:firstLine="480"/>
        <w:rPr>
          <w:rFonts w:ascii="宋体" w:eastAsia="宋体" w:cs="宋体"/>
          <w:sz w:val="24"/>
        </w:rPr>
      </w:pPr>
      <w:r>
        <w:rPr>
          <w:rFonts w:ascii="宋体" w:eastAsia="宋体" w:cs="宋体" w:hint="eastAsia"/>
          <w:sz w:val="24"/>
        </w:rPr>
        <w:t xml:space="preserve">按采购人相关规定引导车辆行驶及停放。对进出办公区的各类车辆进行管理，维护交通秩序，保证车辆有序通行、有序停放。车库（位）应保持良好通风，无易燃、易爆等物品存放，地面、墙面按要求设立明显指示牌和地标。 </w:t>
      </w:r>
    </w:p>
    <w:p>
      <w:pPr>
        <w:spacing w:line="460" w:lineRule="atLeast"/>
        <w:ind w:firstLineChars="200" w:firstLine="480"/>
        <w:rPr>
          <w:rFonts w:ascii="宋体" w:eastAsia="宋体" w:cs="宋体"/>
          <w:sz w:val="24"/>
        </w:rPr>
      </w:pPr>
      <w:r>
        <w:rPr>
          <w:rFonts w:ascii="宋体" w:eastAsia="宋体" w:cs="宋体" w:hint="eastAsia"/>
          <w:sz w:val="24"/>
        </w:rPr>
        <w:t xml:space="preserve">⑤突发事件处理。 </w:t>
      </w:r>
    </w:p>
    <w:p>
      <w:pPr>
        <w:spacing w:line="460" w:lineRule="atLeast"/>
        <w:ind w:firstLineChars="200" w:firstLine="480"/>
        <w:rPr>
          <w:rFonts w:ascii="宋体" w:eastAsia="宋体" w:cs="宋体"/>
          <w:sz w:val="24"/>
        </w:rPr>
      </w:pPr>
      <w:r>
        <w:rPr>
          <w:rFonts w:ascii="宋体" w:eastAsia="宋体" w:cs="宋体" w:hint="eastAsia"/>
          <w:sz w:val="24"/>
        </w:rPr>
        <w:t xml:space="preserve">按照要求制订突发事件应急预案，并将预案内容在保安值班室等处张榜。当发生台风、暴雨等灾害性天气及其他突发事件时，应采取以下应急措施：对设备机房、停车场、广告牌、电线杆等露天设施进行检查和加固。各岗位人员必须按规定实行岗位警戒，根据不同突发事件的现场情况进行应变处理，在有关部门到达现场前，确保人身安全，减少财产损失，并全力协助处理相关事宜。对待上访人员做到耐心说服，及时报告有关部门予以妥善处置。 </w:t>
      </w:r>
    </w:p>
    <w:p>
      <w:pPr>
        <w:spacing w:line="460" w:lineRule="atLeast"/>
        <w:ind w:firstLineChars="200" w:firstLine="480"/>
        <w:rPr>
          <w:rFonts w:ascii="宋体" w:eastAsia="宋体" w:cs="宋体"/>
          <w:sz w:val="24"/>
        </w:rPr>
      </w:pPr>
      <w:r>
        <w:rPr>
          <w:rFonts w:ascii="宋体" w:eastAsia="宋体" w:cs="宋体" w:hint="eastAsia"/>
          <w:sz w:val="24"/>
        </w:rPr>
        <w:t xml:space="preserve">⑥协助对消防（控）、监控设施维护。 </w:t>
      </w:r>
    </w:p>
    <w:p>
      <w:pPr>
        <w:spacing w:line="460" w:lineRule="atLeast"/>
        <w:ind w:firstLineChars="200" w:firstLine="480"/>
        <w:rPr>
          <w:rFonts w:ascii="宋体" w:eastAsia="宋体" w:cs="宋体"/>
          <w:sz w:val="24"/>
        </w:rPr>
      </w:pPr>
      <w:r>
        <w:rPr>
          <w:rFonts w:ascii="宋体" w:eastAsia="宋体" w:cs="宋体" w:hint="eastAsia"/>
          <w:sz w:val="24"/>
        </w:rPr>
        <w:t xml:space="preserve">定期对各消防（控）、监控点的室外设备进行巡查；定期对室外的消防栓、消防水带、消防泵等设备进行检查，是否有埋压或损坏等情况；定期对各楼层的排烟通风口、消防通道进行检查，是否有遮挡或堵塞，各楼层的疏散指示标志是否有损坏或缺少等情况；定期对各楼层应急电源的主、备电情况进行检查。 </w:t>
      </w:r>
    </w:p>
    <w:p>
      <w:pPr>
        <w:pStyle w:val="22"/>
        <w:spacing w:after="0" w:line="460" w:lineRule="atLeast"/>
        <w:ind w:firstLineChars="200" w:firstLine="420"/>
        <w:rPr>
          <w:rFonts w:ascii="宋体" w:eastAsia="宋体"/>
        </w:rPr>
      </w:pPr>
      <w:r>
        <w:rPr>
          <w:rFonts w:ascii="宋体" w:eastAsia="宋体" w:cs="宋体" w:hint="eastAsia"/>
        </w:rPr>
        <w:t>⑦</w:t>
      </w:r>
      <w:r>
        <w:rPr>
          <w:rFonts w:ascii="宋体" w:eastAsia="宋体" w:cs="宋体" w:hint="eastAsia"/>
          <w:sz w:val="24"/>
          <w:szCs w:val="24"/>
        </w:rPr>
        <w:t>配合地方消防部门的应急演练。</w:t>
      </w:r>
    </w:p>
    <w:p>
      <w:pPr>
        <w:spacing w:line="460" w:lineRule="atLeast"/>
        <w:ind w:firstLineChars="200" w:firstLine="480"/>
        <w:rPr>
          <w:rFonts w:ascii="宋体" w:eastAsia="宋体" w:cs="宋体"/>
          <w:sz w:val="24"/>
        </w:rPr>
      </w:pPr>
      <w:r>
        <w:rPr>
          <w:rFonts w:ascii="宋体" w:eastAsia="宋体" w:cs="宋体" w:hint="eastAsia"/>
          <w:sz w:val="24"/>
        </w:rPr>
        <w:t xml:space="preserve">4、其他要求 </w:t>
      </w:r>
    </w:p>
    <w:p>
      <w:pPr>
        <w:spacing w:line="460" w:lineRule="atLeast"/>
        <w:ind w:firstLineChars="200" w:firstLine="480"/>
        <w:rPr>
          <w:rFonts w:ascii="宋体" w:eastAsia="宋体" w:cs="宋体"/>
          <w:sz w:val="24"/>
        </w:rPr>
      </w:pPr>
      <w:r>
        <w:rPr>
          <w:rFonts w:ascii="宋体" w:eastAsia="宋体" w:cs="宋体" w:hint="eastAsia"/>
          <w:sz w:val="24"/>
        </w:rPr>
        <w:t xml:space="preserve">（1）熟悉采购人的环境，熟练掌握各类刑事、治安案件和各类灾害事故的应急预案。 </w:t>
      </w:r>
    </w:p>
    <w:p>
      <w:pPr>
        <w:spacing w:line="460" w:lineRule="atLeast"/>
        <w:ind w:firstLineChars="200" w:firstLine="480"/>
        <w:rPr>
          <w:rFonts w:ascii="宋体" w:eastAsia="宋体" w:cs="宋体"/>
          <w:sz w:val="24"/>
        </w:rPr>
      </w:pPr>
      <w:r>
        <w:rPr>
          <w:rFonts w:ascii="宋体" w:eastAsia="宋体" w:cs="宋体" w:hint="eastAsia"/>
          <w:sz w:val="24"/>
        </w:rPr>
        <w:t xml:space="preserve">（2）文明执勤，训练有素，言语规范，认真负责。 </w:t>
      </w:r>
    </w:p>
    <w:p>
      <w:pPr>
        <w:spacing w:line="460" w:lineRule="atLeast"/>
        <w:ind w:firstLineChars="200" w:firstLine="480"/>
        <w:rPr>
          <w:rFonts w:ascii="宋体" w:eastAsia="宋体" w:cs="宋体"/>
          <w:sz w:val="24"/>
        </w:rPr>
      </w:pPr>
      <w:r>
        <w:rPr>
          <w:rFonts w:ascii="宋体" w:eastAsia="宋体" w:cs="宋体" w:hint="eastAsia"/>
          <w:sz w:val="24"/>
        </w:rPr>
        <w:t>（3）必须对保安人员进行岗前培训，每年至少进行 1 次在岗培训及专业技能培训，并提供相应的考核记录，保证培训质量。</w:t>
      </w:r>
    </w:p>
    <w:p>
      <w:pPr>
        <w:spacing w:line="460" w:lineRule="atLeast"/>
        <w:ind w:firstLineChars="200" w:firstLine="480"/>
        <w:rPr>
          <w:rFonts w:ascii="宋体" w:eastAsia="宋体" w:cs="宋体"/>
          <w:sz w:val="24"/>
        </w:rPr>
      </w:pPr>
      <w:r>
        <w:rPr>
          <w:rFonts w:ascii="宋体" w:eastAsia="宋体" w:cs="宋体" w:hint="eastAsia"/>
          <w:sz w:val="24"/>
        </w:rPr>
        <w:t xml:space="preserve">（4）值班室、出入口，必须保持整洁、有序、道路畅通。 </w:t>
      </w:r>
    </w:p>
    <w:p>
      <w:pPr>
        <w:spacing w:line="460" w:lineRule="atLeast"/>
        <w:ind w:firstLineChars="200" w:firstLine="480"/>
        <w:rPr>
          <w:rFonts w:ascii="宋体" w:eastAsia="宋体" w:cs="宋体"/>
          <w:sz w:val="24"/>
        </w:rPr>
      </w:pPr>
      <w:r>
        <w:rPr>
          <w:rFonts w:ascii="宋体" w:eastAsia="宋体" w:cs="宋体" w:hint="eastAsia"/>
          <w:sz w:val="24"/>
        </w:rPr>
        <w:t xml:space="preserve">（5）交接班有详细完整的记录。 </w:t>
      </w:r>
    </w:p>
    <w:p>
      <w:pPr>
        <w:spacing w:line="460" w:lineRule="atLeast"/>
        <w:ind w:firstLineChars="200" w:firstLine="480"/>
        <w:rPr>
          <w:rFonts w:ascii="宋体" w:eastAsia="宋体" w:cs="宋体"/>
          <w:sz w:val="24"/>
        </w:rPr>
      </w:pPr>
      <w:r>
        <w:rPr>
          <w:rFonts w:ascii="宋体" w:eastAsia="宋体" w:cs="宋体" w:hint="eastAsia"/>
          <w:sz w:val="24"/>
        </w:rPr>
        <w:t xml:space="preserve">（6）采购人需要帮助时，应主动热情，遇紧急求助时，五分钟内赶到现场，及时采取相应保障措施，把风险降至最低。 </w:t>
      </w:r>
    </w:p>
    <w:p>
      <w:pPr>
        <w:spacing w:line="460" w:lineRule="atLeast"/>
        <w:ind w:firstLineChars="200" w:firstLine="480"/>
        <w:rPr>
          <w:rFonts w:ascii="宋体" w:eastAsia="宋体" w:cs="宋体"/>
          <w:sz w:val="24"/>
        </w:rPr>
      </w:pPr>
      <w:r>
        <w:rPr>
          <w:rFonts w:ascii="宋体" w:eastAsia="宋体" w:cs="宋体" w:hint="eastAsia"/>
          <w:sz w:val="24"/>
        </w:rPr>
        <w:t xml:space="preserve">（7）楼梯走道和安全出口等部位应保持畅通无阻，不得擅自封闭或堆放杂物。消防设施、器材不得挪用，严防损坏和丢失。 </w:t>
      </w:r>
    </w:p>
    <w:p>
      <w:pPr>
        <w:spacing w:line="460" w:lineRule="atLeast"/>
        <w:ind w:firstLineChars="200" w:firstLine="480"/>
        <w:rPr>
          <w:rFonts w:ascii="宋体" w:eastAsia="宋体" w:cs="宋体"/>
          <w:sz w:val="24"/>
        </w:rPr>
      </w:pPr>
      <w:r>
        <w:rPr>
          <w:rFonts w:ascii="宋体" w:eastAsia="宋体" w:cs="宋体" w:hint="eastAsia"/>
          <w:sz w:val="24"/>
        </w:rPr>
        <w:t>（8）杜绝火险隐患，制止燃放烟火，承担消防保障责任。</w:t>
      </w:r>
    </w:p>
    <w:p>
      <w:pPr>
        <w:spacing w:line="460" w:lineRule="atLeast"/>
        <w:ind w:firstLineChars="200" w:firstLine="480"/>
        <w:rPr>
          <w:rFonts w:ascii="宋体" w:eastAsia="宋体" w:cs="宋体"/>
          <w:sz w:val="24"/>
        </w:rPr>
      </w:pPr>
      <w:r>
        <w:rPr>
          <w:rFonts w:ascii="宋体" w:eastAsia="宋体" w:cs="宋体" w:hint="eastAsia"/>
          <w:sz w:val="24"/>
        </w:rPr>
        <w:t xml:space="preserve">（9）对违章用电、用火或损坏消防设施器材的行为，有权制止或向有关部门报告。 </w:t>
      </w:r>
    </w:p>
    <w:p>
      <w:pPr>
        <w:spacing w:line="460" w:lineRule="atLeast"/>
        <w:ind w:firstLineChars="200" w:firstLine="480"/>
        <w:rPr>
          <w:rFonts w:ascii="宋体" w:eastAsia="宋体" w:cs="宋体"/>
          <w:sz w:val="24"/>
        </w:rPr>
      </w:pPr>
      <w:r>
        <w:rPr>
          <w:rFonts w:ascii="宋体" w:eastAsia="宋体" w:cs="宋体" w:hint="eastAsia"/>
          <w:sz w:val="24"/>
        </w:rPr>
        <w:t>（10）检查火警、报警功能，确保正常有效。</w:t>
      </w:r>
    </w:p>
    <w:p>
      <w:pPr>
        <w:spacing w:line="460" w:lineRule="atLeast"/>
        <w:ind w:firstLineChars="200" w:firstLine="480"/>
        <w:rPr>
          <w:rFonts w:ascii="宋体" w:eastAsia="宋体" w:cs="宋体"/>
          <w:sz w:val="24"/>
        </w:rPr>
      </w:pPr>
      <w:r>
        <w:rPr>
          <w:rFonts w:ascii="宋体" w:eastAsia="宋体" w:cs="宋体" w:hint="eastAsia"/>
          <w:sz w:val="24"/>
        </w:rPr>
        <w:t>（11）消防栓：每月巡查一次，消防栓箱内各种配件完好。每年保养一次，表面无生锈现象，颜色一致；阀杆每半年加注润滑油，启动灵活运行正常，放水检查确保消防栓出水正常。</w:t>
      </w:r>
    </w:p>
    <w:p>
      <w:pPr>
        <w:spacing w:line="460" w:lineRule="atLeast"/>
        <w:ind w:firstLineChars="200" w:firstLine="480"/>
        <w:rPr>
          <w:rFonts w:ascii="宋体" w:eastAsia="宋体" w:cs="宋体"/>
          <w:sz w:val="24"/>
        </w:rPr>
      </w:pPr>
      <w:r>
        <w:rPr>
          <w:rFonts w:ascii="宋体" w:eastAsia="宋体" w:cs="宋体" w:hint="eastAsia"/>
          <w:sz w:val="24"/>
        </w:rPr>
        <w:t xml:space="preserve">（12）消防水带：平时检查每月不少于 1次，每半年全面检查一次，完好无缺，无霉变。 </w:t>
      </w:r>
    </w:p>
    <w:p>
      <w:pPr>
        <w:spacing w:line="460" w:lineRule="atLeast"/>
        <w:ind w:firstLineChars="200" w:firstLine="480"/>
        <w:rPr>
          <w:rFonts w:ascii="宋体" w:eastAsia="宋体" w:cs="宋体"/>
          <w:sz w:val="24"/>
        </w:rPr>
      </w:pPr>
      <w:r>
        <w:rPr>
          <w:rFonts w:ascii="宋体" w:eastAsia="宋体" w:cs="宋体" w:hint="eastAsia"/>
          <w:sz w:val="24"/>
        </w:rPr>
        <w:t>（13）灭火器：平时检查每月不少于 1 次，每年必须全面检查1次以上，发现问题及时进行整改。</w:t>
      </w:r>
    </w:p>
    <w:p>
      <w:pPr>
        <w:spacing w:line="460" w:lineRule="atLeast"/>
        <w:ind w:firstLineChars="200" w:firstLine="480"/>
        <w:rPr>
          <w:rFonts w:ascii="宋体" w:eastAsia="宋体" w:cs="宋体"/>
          <w:sz w:val="24"/>
        </w:rPr>
      </w:pPr>
      <w:r>
        <w:rPr>
          <w:rFonts w:ascii="宋体" w:eastAsia="宋体" w:cs="宋体" w:hint="eastAsia"/>
          <w:sz w:val="24"/>
        </w:rPr>
        <w:t xml:space="preserve"> （14）其他突发状况或临时管控期间，按采购人要求做好保安服务。 </w:t>
      </w:r>
    </w:p>
    <w:p>
      <w:pPr>
        <w:spacing w:line="460" w:lineRule="atLeast"/>
        <w:ind w:firstLineChars="200" w:firstLine="480"/>
        <w:rPr>
          <w:rFonts w:ascii="宋体" w:eastAsia="宋体" w:cs="宋体"/>
          <w:b/>
          <w:bCs/>
          <w:sz w:val="24"/>
        </w:rPr>
      </w:pPr>
      <w:r>
        <w:rPr>
          <w:rFonts w:ascii="宋体" w:eastAsia="宋体" w:cs="宋体" w:hint="eastAsia"/>
          <w:b/>
          <w:bCs/>
          <w:sz w:val="24"/>
        </w:rPr>
        <w:t>（五）会务服务</w:t>
      </w:r>
    </w:p>
    <w:p>
      <w:pPr>
        <w:spacing w:line="460" w:lineRule="atLeast"/>
        <w:ind w:firstLineChars="200" w:firstLine="480"/>
        <w:rPr>
          <w:rFonts w:ascii="宋体" w:cs="宋体"/>
          <w:sz w:val="24"/>
        </w:rPr>
      </w:pPr>
      <w:r>
        <w:rPr>
          <w:rFonts w:ascii="宋体" w:eastAsia="宋体" w:cs="宋体" w:hint="eastAsia"/>
          <w:sz w:val="24"/>
        </w:rPr>
        <w:t>1.服务内容：按照会务服务标准及流程，做好会前服务准备、会议期间服务以及会后服务，负责大楼各会议室室内卫生、消毒及会务保障工作，完成</w:t>
      </w:r>
      <w:r>
        <w:rPr>
          <w:rFonts w:ascii="宋体" w:cs="宋体"/>
          <w:sz w:val="24"/>
        </w:rPr>
        <w:t>包</w:t>
      </w:r>
      <w:r>
        <w:rPr>
          <w:rFonts w:ascii="宋体" w:cs="宋体" w:hint="eastAsia"/>
          <w:sz w:val="24"/>
        </w:rPr>
        <w:t>厢</w:t>
      </w:r>
      <w:r>
        <w:rPr>
          <w:rFonts w:ascii="宋体" w:cs="宋体"/>
          <w:sz w:val="24"/>
        </w:rPr>
        <w:t>接待的</w:t>
      </w:r>
      <w:r>
        <w:rPr>
          <w:rFonts w:ascii="宋体" w:cs="宋体" w:hint="eastAsia"/>
          <w:sz w:val="24"/>
        </w:rPr>
        <w:t>服务</w:t>
      </w:r>
      <w:r>
        <w:rPr>
          <w:rFonts w:ascii="宋体" w:cs="宋体"/>
          <w:sz w:val="24"/>
        </w:rPr>
        <w:t>保障</w:t>
      </w:r>
      <w:r>
        <w:rPr>
          <w:rFonts w:ascii="宋体" w:cs="宋体" w:hint="eastAsia"/>
          <w:sz w:val="24"/>
        </w:rPr>
        <w:t>及后续洗衣房管理</w:t>
      </w:r>
      <w:r>
        <w:rPr>
          <w:rFonts w:ascii="宋体" w:cs="宋体"/>
          <w:sz w:val="24"/>
        </w:rPr>
        <w:t>工作</w:t>
      </w:r>
      <w:r>
        <w:rPr>
          <w:rFonts w:ascii="宋体" w:cs="宋体" w:hint="eastAsia"/>
          <w:sz w:val="24"/>
        </w:rPr>
        <w:t>。</w:t>
      </w:r>
    </w:p>
    <w:p>
      <w:pPr>
        <w:spacing w:line="460" w:lineRule="atLeast"/>
        <w:ind w:firstLineChars="200" w:firstLine="480"/>
        <w:rPr>
          <w:rFonts w:ascii="宋体" w:eastAsia="宋体" w:cs="宋体"/>
          <w:sz w:val="24"/>
        </w:rPr>
      </w:pPr>
      <w:r>
        <w:rPr>
          <w:rFonts w:ascii="宋体" w:eastAsia="宋体" w:cs="宋体" w:hint="eastAsia"/>
          <w:sz w:val="24"/>
        </w:rPr>
        <w:t>2.服务质量标准：</w:t>
      </w:r>
    </w:p>
    <w:p>
      <w:pPr>
        <w:spacing w:line="460" w:lineRule="atLeast"/>
        <w:ind w:firstLineChars="200" w:firstLine="480"/>
        <w:rPr>
          <w:rFonts w:ascii="宋体" w:eastAsia="宋体" w:cs="宋体"/>
          <w:sz w:val="24"/>
        </w:rPr>
      </w:pPr>
      <w:r>
        <w:rPr>
          <w:rFonts w:ascii="宋体" w:eastAsia="宋体" w:cs="宋体" w:hint="eastAsia"/>
          <w:sz w:val="24"/>
        </w:rPr>
        <w:t>（1）会前准备：确认会议室音响、灯具等设备的完好，发现故障及时向相关部门报修；做好会议室的保洁、整理，桌椅要摆放整齐；按会议要求，准备好会议资料及合格的会议用品，在开会前1小时准备好矿泉水、水杯、开水、茶叶、小方巾和会议桌上的纸和笔及横幅、投影、话筒、音响、灯光、发言席、桌牌等（具体视情况而定）；根据会议要求进行摆台，对会议室进行通风和气味处置；准备工作结束后，进行会前的全面保洁和安全检查，并核对所需物品，如检查摆台、准备开水、茶包等；准备完全结束后，打开会议厅（室），调整小环境（空调、灯光、气味等）。</w:t>
      </w:r>
    </w:p>
    <w:p>
      <w:pPr>
        <w:spacing w:line="460" w:lineRule="atLeast"/>
        <w:ind w:firstLineChars="200" w:firstLine="480"/>
        <w:rPr>
          <w:rFonts w:ascii="宋体" w:eastAsia="宋体" w:cs="宋体"/>
          <w:sz w:val="24"/>
        </w:rPr>
      </w:pPr>
      <w:r>
        <w:rPr>
          <w:rFonts w:ascii="宋体" w:eastAsia="宋体" w:cs="宋体" w:hint="eastAsia"/>
          <w:sz w:val="24"/>
        </w:rPr>
        <w:t>（2）会中服务：会议服务人员应在会前1小时按要求着工作服上岗，站在会场入口显要位置，面带微笑，指引参会人员进入会场；服务人员应在客人落座后倒水。大型会议中，服务人员也可在会前10分钟将主场茶水倒满，会议开始后第一次15分钟续水，之后每15-20分钟对主场进行续水；会议服务人员在会议开始后将会场门关上，站在会场一角观察会议进展，对突发事件进行及时处理；会议结束，服务人员立即打开会场大门，在门外站立，微笑送客。</w:t>
      </w:r>
    </w:p>
    <w:p>
      <w:pPr>
        <w:spacing w:line="460" w:lineRule="atLeast"/>
        <w:ind w:firstLineChars="200" w:firstLine="480"/>
        <w:rPr>
          <w:rFonts w:ascii="宋体" w:eastAsia="宋体" w:cs="宋体"/>
          <w:sz w:val="24"/>
        </w:rPr>
      </w:pPr>
      <w:r>
        <w:rPr>
          <w:rFonts w:ascii="宋体" w:eastAsia="宋体" w:cs="宋体" w:hint="eastAsia"/>
          <w:sz w:val="24"/>
        </w:rPr>
        <w:t>(3)会后服务：检查会议厅（室）是否有客人遗失的物品，如有遗失应立即还送给客人，如未能及时送还，应上缴办公室妥善管理，做好记录，同时立即通知相关单位；检查会议室及相关的物品是否有缺失或损坏，及时报告会场管理员，协助追补损失，做好记录；物品归还，清理租借、调用的物品，检查有无缺失或损坏，清洁后归还，做好相应记录；清场保洁：回收可重复使用的会议用品，清洁桌椅、地面等并做好会场消毒工作，将座牌、桌椅等归位；关闭会议室：包括音响、空调、灯光、门。</w:t>
      </w:r>
    </w:p>
    <w:p>
      <w:pPr>
        <w:pStyle w:val="27"/>
        <w:spacing w:line="460" w:lineRule="atLeast"/>
        <w:ind w:firstLine="482"/>
        <w:rPr>
          <w:rFonts w:ascii="宋体" w:eastAsia="宋体" w:cs="宋体"/>
          <w:sz w:val="24"/>
        </w:rPr>
      </w:pPr>
      <w:r>
        <w:rPr>
          <w:rFonts w:ascii="宋体" w:eastAsia="宋体" w:cs="宋体" w:hint="eastAsia"/>
          <w:sz w:val="24"/>
        </w:rPr>
        <w:t>（4）包厢服务：做好包厢的内部保洁、餐具的整理和公务接待的服务工作及结束后做好包厢的清洁整理工作。</w:t>
      </w:r>
    </w:p>
    <w:p>
      <w:pPr>
        <w:pStyle w:val="15"/>
        <w:spacing w:after="0" w:line="460" w:lineRule="atLeast"/>
        <w:ind w:firstLine="482"/>
        <w:rPr>
          <w:rFonts w:ascii="宋体" w:eastAsia="宋体" w:cs="宋体"/>
          <w:sz w:val="24"/>
        </w:rPr>
      </w:pPr>
      <w:r>
        <w:rPr>
          <w:rFonts w:ascii="宋体" w:eastAsia="宋体" w:cs="宋体" w:hint="eastAsia"/>
          <w:sz w:val="24"/>
        </w:rPr>
        <w:t>（5）洗衣房服务：做好采购人洗衣房的日常管理工作,负责洗衣房、洗衣设备的保洁卫生、衣物的收取清洗及发放工作等。</w:t>
      </w:r>
    </w:p>
    <w:p>
      <w:pPr>
        <w:spacing w:line="460" w:lineRule="atLeast"/>
        <w:ind w:firstLineChars="100" w:firstLine="240"/>
        <w:rPr>
          <w:rFonts w:ascii="宋体" w:eastAsia="宋体" w:cs="宋体"/>
          <w:b/>
          <w:bCs/>
          <w:sz w:val="24"/>
        </w:rPr>
      </w:pPr>
      <w:r>
        <w:rPr>
          <w:rFonts w:ascii="宋体" w:eastAsia="宋体" w:cs="宋体" w:hint="eastAsia"/>
          <w:sz w:val="24"/>
        </w:rPr>
        <w:t xml:space="preserve">  </w:t>
      </w:r>
      <w:r>
        <w:rPr>
          <w:rFonts w:ascii="宋体" w:eastAsia="宋体" w:cs="宋体" w:hint="eastAsia"/>
          <w:b/>
          <w:bCs/>
          <w:sz w:val="24"/>
        </w:rPr>
        <w:t>（六）综合维修维护服务</w:t>
      </w:r>
    </w:p>
    <w:p>
      <w:pPr>
        <w:spacing w:line="460" w:lineRule="atLeast"/>
        <w:ind w:firstLineChars="300" w:firstLine="720"/>
        <w:rPr>
          <w:rFonts w:ascii="宋体" w:eastAsia="宋体" w:cs="宋体"/>
          <w:sz w:val="24"/>
        </w:rPr>
      </w:pPr>
      <w:r>
        <w:rPr>
          <w:rFonts w:ascii="宋体" w:eastAsia="宋体" w:cs="宋体" w:hint="eastAsia"/>
          <w:sz w:val="24"/>
        </w:rPr>
        <w:t>1.服务范围</w:t>
      </w:r>
    </w:p>
    <w:p>
      <w:pPr>
        <w:spacing w:line="460" w:lineRule="atLeast"/>
        <w:ind w:firstLineChars="200" w:firstLine="480"/>
        <w:rPr>
          <w:rFonts w:ascii="宋体" w:eastAsia="宋体" w:cs="宋体"/>
          <w:sz w:val="24"/>
        </w:rPr>
      </w:pPr>
      <w:r>
        <w:rPr>
          <w:rFonts w:ascii="宋体" w:eastAsia="宋体" w:cs="宋体" w:hint="eastAsia"/>
          <w:sz w:val="24"/>
        </w:rPr>
        <w:t xml:space="preserve"> 采购人全部办公、公共场所的房屋建筑和设施设备的维修维护。</w:t>
      </w:r>
    </w:p>
    <w:p>
      <w:pPr>
        <w:spacing w:line="460" w:lineRule="atLeast"/>
        <w:ind w:firstLineChars="300" w:firstLine="720"/>
        <w:rPr>
          <w:rFonts w:ascii="宋体" w:eastAsia="宋体" w:cs="宋体"/>
          <w:sz w:val="24"/>
        </w:rPr>
      </w:pPr>
      <w:r>
        <w:rPr>
          <w:rFonts w:ascii="宋体" w:eastAsia="宋体" w:cs="宋体" w:hint="eastAsia"/>
          <w:sz w:val="24"/>
        </w:rPr>
        <w:t>2.服务内容</w:t>
      </w:r>
    </w:p>
    <w:p>
      <w:pPr>
        <w:spacing w:line="460" w:lineRule="atLeast"/>
        <w:ind w:firstLineChars="200" w:firstLine="480"/>
        <w:rPr>
          <w:rFonts w:ascii="宋体" w:eastAsia="宋体" w:cs="宋体"/>
          <w:sz w:val="24"/>
        </w:rPr>
      </w:pPr>
      <w:r>
        <w:rPr>
          <w:rFonts w:ascii="宋体" w:eastAsia="宋体" w:cs="宋体" w:hint="eastAsia"/>
          <w:sz w:val="24"/>
        </w:rPr>
        <w:t>（1）给排水设备运行维修维护。包括对办公楼(区)室内外给排水系统的设备、设施，如水泵、水箱、气压给水装置、水处理设备、消火栓、管道、管件、阀门、水嘴、卫生洁具、排水管、透气管、水封设备、室外排水管及附属构筑物等进行日常养护维修，保持正常运行；每天检查一次生活水泵、排水泵、阀门等，确保风机、排水系统通畅，各种管道阀门完好，仪表显示正常，无跑、冒、滴、漏现象。每季对大楼排水、排污总管进行检查。</w:t>
      </w:r>
    </w:p>
    <w:p>
      <w:pPr>
        <w:pStyle w:val="28"/>
        <w:spacing w:afterLines="0" w:after="50" w:line="460" w:lineRule="atLeast"/>
        <w:rPr>
          <w:rFonts w:ascii="宋体" w:eastAsia="宋体" w:cs="宋体"/>
          <w:kern w:val="2"/>
          <w:szCs w:val="24"/>
        </w:rPr>
      </w:pPr>
      <w:r>
        <w:rPr>
          <w:rFonts w:ascii="宋体" w:eastAsia="宋体" w:cs="宋体" w:hint="eastAsia"/>
          <w:szCs w:val="24"/>
        </w:rPr>
        <w:t>（2）供电设备管</w:t>
      </w:r>
      <w:r>
        <w:rPr>
          <w:rFonts w:ascii="宋体" w:eastAsia="宋体" w:cs="宋体" w:hint="eastAsia"/>
          <w:kern w:val="2"/>
          <w:szCs w:val="24"/>
        </w:rPr>
        <w:t>理维修维护。负责大楼配电房及供用电设备管理维护，包括对办公楼(区)供电系统高、低压电器设备、电线电缆、电气照明装置等设备进行日常管理和维修，定期对配电房、强电井、照明系统及其他供电设施设备的巡查维护并记录，发现故障及时上报和维修，保持正常运行。</w:t>
      </w:r>
    </w:p>
    <w:p>
      <w:pPr>
        <w:spacing w:line="460" w:lineRule="atLeast"/>
        <w:ind w:firstLineChars="200" w:firstLine="480"/>
        <w:rPr>
          <w:rFonts w:ascii="宋体" w:eastAsia="宋体" w:cs="宋体"/>
          <w:sz w:val="24"/>
        </w:rPr>
      </w:pPr>
      <w:r>
        <w:rPr>
          <w:rFonts w:ascii="宋体" w:eastAsia="宋体" w:cs="宋体" w:hint="eastAsia"/>
          <w:sz w:val="24"/>
        </w:rPr>
        <w:t>（3）保障电梯安全稳定运行，做好电梯日常巡查及维修维护。建立运行安全管理制度，有充分的电梯故障时的应急措施。引导乘客安全用梯，确保电梯安全运行；对专业人员电梯保养工作进行监督，并对电梯运行进行管理。电梯发生一般故障时，应立即通知专业维保单位。发生电梯困人或其他重大事件时，应立即通知专业维保单位并在第一时间赶到现场，协助专业维保单位做好现场的应急处理工作。</w:t>
      </w:r>
    </w:p>
    <w:p>
      <w:pPr>
        <w:pStyle w:val="28"/>
        <w:spacing w:afterLines="0" w:after="50" w:line="460" w:lineRule="atLeast"/>
        <w:rPr>
          <w:rFonts w:ascii="宋体" w:eastAsia="宋体" w:cs="宋体"/>
          <w:kern w:val="2"/>
          <w:szCs w:val="24"/>
        </w:rPr>
      </w:pPr>
      <w:r>
        <w:rPr>
          <w:rFonts w:ascii="宋体" w:eastAsia="宋体" w:cs="宋体" w:hint="eastAsia"/>
          <w:kern w:val="2"/>
          <w:szCs w:val="24"/>
        </w:rPr>
        <w:t>（4）房屋及设施日常养护维修。对办公楼(区)房屋地面、外墙幕墙、墙台面及吊顶、门窗、楼梯、通风道的日常巡查和负责大楼房屋设施日常养护管理。确保大楼内外房屋及设施的完好和正常使用。玻璃无破裂，五金配件完好，门窗开闭灵活、密封性好、无异常声响。否则应及时修复或更换，不能立即修复的涉及安全性的应采取措施消除安全隐患。屋面排水沟、室内室外排水管保障畅通；雨前及时巡查，排除隐患，发现过滤网及管道破损及时修复或更换。</w:t>
      </w:r>
    </w:p>
    <w:p>
      <w:pPr>
        <w:pStyle w:val="28"/>
        <w:spacing w:afterLines="0" w:after="50" w:line="460" w:lineRule="atLeast"/>
        <w:rPr>
          <w:rFonts w:ascii="宋体" w:eastAsia="宋体" w:cs="宋体"/>
          <w:kern w:val="2"/>
          <w:szCs w:val="24"/>
        </w:rPr>
      </w:pPr>
      <w:r>
        <w:rPr>
          <w:rFonts w:ascii="宋体" w:eastAsia="宋体" w:cs="宋体" w:hint="eastAsia"/>
          <w:kern w:val="2"/>
          <w:szCs w:val="24"/>
        </w:rPr>
        <w:t>（5）保障空调安全稳定运行，定期对设施设备进行巡查并记录，配合维保单位做好空调保养、消防设施设备检测及保养工作。</w:t>
      </w:r>
    </w:p>
    <w:p>
      <w:pPr>
        <w:spacing w:line="460" w:lineRule="atLeast"/>
        <w:ind w:firstLineChars="200" w:firstLine="480"/>
        <w:rPr>
          <w:rFonts w:ascii="宋体" w:eastAsia="宋体" w:cs="宋体"/>
          <w:sz w:val="24"/>
        </w:rPr>
      </w:pPr>
      <w:r>
        <w:rPr>
          <w:rFonts w:ascii="宋体" w:eastAsia="宋体" w:cs="宋体" w:hint="eastAsia"/>
          <w:sz w:val="24"/>
        </w:rPr>
        <w:t>（6）大楼工程综合维修及巡检。大楼设施设备做到安全运行和节能操作，发现故障立即通知及时排除；水、电、卫浴设备、门锁维修不过夜；遇电路故障没电，水管爆裂、水龙头漏水、门锁开不了、门窗毁坏及墙面破损，要随叫随修；排水管、排污管要保持畅通，如有堵塞应立即疏通，厕所堵塞应当天疏通（需换厕盆的除外）。公共照明、水电设施每天检查一遍。楼宇内门窗、卫浴设施、内墙面、所有照明设施的检查每季度1次。日常维修接到报修信息后，必须15分钟内赶到现场进行处理。若无能力修复，立即报告相关部门的有关人员及领导。工程维修人员除日常工作外，实行定期巡查维修制；巡查内容包括配电设施、照明及供用电设施、空调设施、给排水设施、房屋及装修设施、室外构筑设施、办公与其他公用设施。</w:t>
      </w:r>
    </w:p>
    <w:p>
      <w:pPr>
        <w:pStyle w:val="27"/>
        <w:spacing w:line="460" w:lineRule="atLeast"/>
        <w:ind w:firstLineChars="200" w:firstLine="480"/>
        <w:rPr>
          <w:rFonts w:ascii="宋体" w:eastAsia="宋体" w:cs="宋体"/>
          <w:sz w:val="24"/>
        </w:rPr>
      </w:pPr>
      <w:r>
        <w:rPr>
          <w:rFonts w:ascii="宋体" w:eastAsia="宋体" w:cs="宋体" w:hint="eastAsia"/>
          <w:sz w:val="24"/>
        </w:rPr>
        <w:t>（7）负责集体宿舍消防安全检查及小型维修</w:t>
      </w:r>
    </w:p>
    <w:p>
      <w:pPr>
        <w:spacing w:line="460" w:lineRule="atLeast"/>
        <w:ind w:firstLineChars="200" w:firstLine="480"/>
        <w:rPr>
          <w:rFonts w:ascii="宋体" w:eastAsia="宋体" w:cs="宋体"/>
          <w:sz w:val="24"/>
        </w:rPr>
      </w:pPr>
      <w:r>
        <w:rPr>
          <w:rFonts w:ascii="宋体" w:eastAsia="宋体" w:cs="宋体" w:hint="eastAsia"/>
          <w:sz w:val="24"/>
        </w:rPr>
        <w:t>（8）设施设备运行及维护其他要求。需对各项设施设备进行日常运行及维护、清洗、室外公共设施每年修缮两次，包括修理、除锈、刷漆、加固、更换等。</w:t>
      </w:r>
    </w:p>
    <w:p>
      <w:pPr>
        <w:pStyle w:val="28"/>
        <w:spacing w:afterLines="0" w:after="50" w:line="460" w:lineRule="atLeast"/>
        <w:rPr>
          <w:rFonts w:ascii="宋体" w:eastAsia="宋体" w:cs="宋体"/>
          <w:kern w:val="2"/>
          <w:szCs w:val="24"/>
        </w:rPr>
      </w:pPr>
      <w:r>
        <w:rPr>
          <w:rFonts w:ascii="宋体" w:eastAsia="宋体" w:cs="宋体" w:hint="eastAsia"/>
          <w:kern w:val="2"/>
          <w:szCs w:val="24"/>
        </w:rPr>
        <w:t>（9）其他临时性或突发的各项维修工作。</w:t>
      </w:r>
    </w:p>
    <w:p>
      <w:pPr>
        <w:spacing w:line="460" w:lineRule="atLeast"/>
        <w:ind w:firstLineChars="200" w:firstLine="480"/>
        <w:rPr>
          <w:rFonts w:ascii="宋体" w:eastAsia="宋体" w:cs="宋体"/>
          <w:b/>
          <w:bCs/>
          <w:sz w:val="24"/>
        </w:rPr>
      </w:pPr>
      <w:r>
        <w:rPr>
          <w:rFonts w:ascii="宋体" w:eastAsia="宋体" w:cs="宋体" w:hint="eastAsia"/>
          <w:b/>
          <w:bCs/>
          <w:sz w:val="24"/>
        </w:rPr>
        <w:t>（七）疫情防控服务</w:t>
      </w:r>
    </w:p>
    <w:p>
      <w:pPr>
        <w:pStyle w:val="15"/>
        <w:spacing w:after="0" w:line="460" w:lineRule="atLeast"/>
        <w:ind w:firstLineChars="300" w:firstLine="720"/>
        <w:rPr>
          <w:rFonts w:ascii="宋体" w:eastAsia="宋体" w:cs="宋体"/>
          <w:sz w:val="24"/>
        </w:rPr>
      </w:pPr>
      <w:r>
        <w:rPr>
          <w:rFonts w:ascii="宋体" w:eastAsia="宋体" w:cs="宋体" w:hint="eastAsia"/>
          <w:sz w:val="24"/>
        </w:rPr>
        <w:t xml:space="preserve">1.服务范围 </w:t>
      </w:r>
    </w:p>
    <w:p>
      <w:pPr>
        <w:spacing w:line="460" w:lineRule="atLeast"/>
        <w:ind w:firstLineChars="200" w:firstLine="480"/>
        <w:rPr>
          <w:rFonts w:ascii="宋体" w:eastAsia="宋体" w:cs="宋体"/>
          <w:sz w:val="24"/>
        </w:rPr>
      </w:pPr>
      <w:r>
        <w:rPr>
          <w:rFonts w:ascii="宋体" w:eastAsia="宋体" w:cs="宋体" w:hint="eastAsia"/>
          <w:sz w:val="24"/>
        </w:rPr>
        <w:t xml:space="preserve">采购人全部办公、公共场所和设施设备以及各个建筑物所在院落的清洁与消毒。 </w:t>
      </w:r>
    </w:p>
    <w:p>
      <w:pPr>
        <w:spacing w:line="460" w:lineRule="atLeast"/>
        <w:ind w:firstLineChars="300" w:firstLine="720"/>
        <w:rPr>
          <w:rFonts w:ascii="宋体" w:eastAsia="宋体" w:cs="宋体"/>
          <w:sz w:val="24"/>
        </w:rPr>
      </w:pPr>
      <w:r>
        <w:rPr>
          <w:rFonts w:ascii="宋体" w:eastAsia="宋体" w:cs="宋体" w:hint="eastAsia"/>
          <w:sz w:val="24"/>
        </w:rPr>
        <w:t xml:space="preserve">2.服务内容 </w:t>
      </w:r>
    </w:p>
    <w:p>
      <w:pPr>
        <w:spacing w:line="460" w:lineRule="atLeast"/>
        <w:ind w:firstLineChars="200" w:firstLine="480"/>
        <w:rPr>
          <w:rFonts w:ascii="宋体" w:eastAsia="宋体" w:cs="宋体"/>
          <w:sz w:val="24"/>
        </w:rPr>
      </w:pPr>
      <w:r>
        <w:rPr>
          <w:rFonts w:ascii="宋体" w:eastAsia="宋体" w:cs="宋体" w:hint="eastAsia"/>
          <w:sz w:val="24"/>
        </w:rPr>
        <w:t>（1）办事大厅、办公室及会议室，活动室内外及电梯等所有公共区域的清洁和消毒工作；</w:t>
      </w:r>
    </w:p>
    <w:p>
      <w:pPr>
        <w:spacing w:line="460" w:lineRule="atLeast"/>
        <w:ind w:firstLineChars="200" w:firstLine="480"/>
        <w:rPr>
          <w:rFonts w:ascii="宋体" w:eastAsia="宋体" w:cs="宋体"/>
          <w:sz w:val="24"/>
        </w:rPr>
      </w:pPr>
      <w:r>
        <w:rPr>
          <w:rFonts w:ascii="宋体" w:eastAsia="宋体" w:cs="宋体" w:hint="eastAsia"/>
          <w:sz w:val="24"/>
        </w:rPr>
        <w:t>（2）所有的室外公共区域，包含：道路、花坛、停车场、训练中心、快递柜（架）等所有公共场所以及公共设施的清洁和消毒工作。</w:t>
      </w:r>
    </w:p>
    <w:p>
      <w:pPr>
        <w:pStyle w:val="27"/>
        <w:spacing w:line="460" w:lineRule="atLeast"/>
        <w:ind w:firstLineChars="200" w:firstLine="480"/>
        <w:rPr>
          <w:rFonts w:ascii="宋体" w:eastAsia="宋体" w:cs="宋体"/>
          <w:sz w:val="24"/>
        </w:rPr>
      </w:pPr>
      <w:r>
        <w:rPr>
          <w:rFonts w:ascii="宋体" w:eastAsia="宋体" w:cs="宋体" w:hint="eastAsia"/>
          <w:sz w:val="24"/>
        </w:rPr>
        <w:t>（3）完成领导布置的其它疫情防控的临时性工作。</w:t>
      </w:r>
    </w:p>
    <w:p>
      <w:pPr>
        <w:spacing w:line="460" w:lineRule="atLeast"/>
        <w:ind w:firstLineChars="200" w:firstLine="480"/>
        <w:rPr>
          <w:rFonts w:ascii="宋体" w:eastAsia="宋体" w:cs="宋体"/>
          <w:sz w:val="24"/>
        </w:rPr>
      </w:pPr>
      <w:r>
        <w:rPr>
          <w:rFonts w:ascii="宋体" w:eastAsia="宋体" w:cs="宋体" w:hint="eastAsia"/>
          <w:sz w:val="24"/>
        </w:rPr>
        <w:t xml:space="preserve">★3.服务要求： </w:t>
      </w:r>
    </w:p>
    <w:p>
      <w:pPr>
        <w:spacing w:line="460" w:lineRule="atLeast"/>
        <w:ind w:firstLineChars="200" w:firstLine="480"/>
        <w:rPr>
          <w:rFonts w:ascii="宋体" w:eastAsia="宋体" w:cs="宋体"/>
          <w:sz w:val="24"/>
        </w:rPr>
      </w:pPr>
      <w:r>
        <w:rPr>
          <w:rFonts w:ascii="宋体" w:eastAsia="宋体" w:cs="宋体" w:hint="eastAsia"/>
          <w:sz w:val="24"/>
        </w:rPr>
        <w:t>按采购人关于疫情防控的文件及通知要求执行。</w:t>
      </w:r>
    </w:p>
    <w:p>
      <w:pPr>
        <w:spacing w:line="460" w:lineRule="atLeast"/>
        <w:ind w:firstLineChars="200" w:firstLine="480"/>
        <w:rPr>
          <w:rFonts w:ascii="宋体" w:eastAsia="宋体" w:cs="宋体"/>
          <w:b/>
          <w:bCs/>
          <w:sz w:val="24"/>
        </w:rPr>
      </w:pPr>
      <w:r>
        <w:rPr>
          <w:rFonts w:ascii="宋体" w:eastAsia="宋体" w:cs="宋体" w:hint="eastAsia"/>
          <w:b/>
          <w:bCs/>
          <w:sz w:val="24"/>
        </w:rPr>
        <w:t xml:space="preserve">（八）、物业外包项目其他要求 </w:t>
      </w:r>
    </w:p>
    <w:p>
      <w:pPr>
        <w:spacing w:line="460" w:lineRule="atLeast"/>
        <w:ind w:firstLineChars="200" w:firstLine="480"/>
        <w:rPr>
          <w:rFonts w:ascii="宋体" w:eastAsia="宋体" w:cs="宋体"/>
          <w:sz w:val="24"/>
        </w:rPr>
      </w:pPr>
      <w:r>
        <w:rPr>
          <w:rFonts w:ascii="宋体" w:eastAsia="宋体" w:cs="宋体" w:hint="eastAsia"/>
          <w:sz w:val="24"/>
        </w:rPr>
        <w:t xml:space="preserve">★1.外包服务人员配置要求 </w:t>
      </w:r>
    </w:p>
    <w:tbl>
      <w:tblPr>
        <w:jc w:val="left"/>
        <w:tblInd w:w="108" w:type="dxa"/>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00"/>
        <w:gridCol w:w="1807"/>
        <w:gridCol w:w="1846"/>
        <w:gridCol w:w="4519"/>
      </w:tblGrid>
      <w:tr>
        <w:tc>
          <w:tcPr>
            <w:tcW w:w="900" w:type="dxa"/>
            <w:noWrap/>
          </w:tcPr>
          <w:p>
            <w:pPr>
              <w:spacing w:line="460" w:lineRule="exact"/>
              <w:jc w:val="center"/>
              <w:rPr>
                <w:rFonts w:ascii="宋体" w:eastAsia="宋体" w:cs="宋体"/>
                <w:b/>
                <w:bCs/>
                <w:sz w:val="24"/>
              </w:rPr>
            </w:pPr>
            <w:r>
              <w:rPr>
                <w:rFonts w:ascii="宋体" w:eastAsia="宋体" w:cs="宋体" w:hint="eastAsia"/>
                <w:b/>
                <w:bCs/>
                <w:sz w:val="24"/>
              </w:rPr>
              <w:t>序号</w:t>
            </w:r>
          </w:p>
        </w:tc>
        <w:tc>
          <w:tcPr>
            <w:tcW w:w="1807" w:type="dxa"/>
            <w:noWrap/>
          </w:tcPr>
          <w:p>
            <w:pPr>
              <w:spacing w:line="460" w:lineRule="exact"/>
              <w:jc w:val="center"/>
              <w:rPr>
                <w:rFonts w:ascii="宋体" w:eastAsia="宋体" w:cs="宋体"/>
                <w:b/>
                <w:bCs/>
                <w:sz w:val="24"/>
              </w:rPr>
            </w:pPr>
            <w:r>
              <w:rPr>
                <w:rFonts w:ascii="宋体" w:eastAsia="宋体" w:cs="宋体" w:hint="eastAsia"/>
                <w:b/>
                <w:bCs/>
                <w:sz w:val="24"/>
              </w:rPr>
              <w:t>项目</w:t>
            </w:r>
          </w:p>
        </w:tc>
        <w:tc>
          <w:tcPr>
            <w:tcW w:w="1846" w:type="dxa"/>
            <w:noWrap/>
          </w:tcPr>
          <w:p>
            <w:pPr>
              <w:spacing w:line="460" w:lineRule="exact"/>
              <w:jc w:val="center"/>
              <w:rPr>
                <w:rFonts w:ascii="宋体" w:eastAsia="宋体" w:cs="宋体"/>
                <w:b/>
                <w:bCs/>
                <w:sz w:val="24"/>
              </w:rPr>
            </w:pPr>
            <w:r>
              <w:rPr>
                <w:rFonts w:ascii="宋体" w:eastAsia="宋体" w:cs="宋体" w:hint="eastAsia"/>
                <w:b/>
                <w:bCs/>
                <w:sz w:val="24"/>
              </w:rPr>
              <w:t>拟配人员</w:t>
            </w:r>
          </w:p>
        </w:tc>
        <w:tc>
          <w:tcPr>
            <w:tcW w:w="4519" w:type="dxa"/>
            <w:noWrap/>
          </w:tcPr>
          <w:p>
            <w:pPr>
              <w:spacing w:line="460" w:lineRule="exact"/>
              <w:jc w:val="center"/>
              <w:rPr>
                <w:rFonts w:ascii="宋体" w:eastAsia="宋体" w:cs="宋体"/>
                <w:b/>
                <w:bCs/>
                <w:sz w:val="24"/>
              </w:rPr>
            </w:pPr>
            <w:r>
              <w:rPr>
                <w:rFonts w:ascii="宋体" w:eastAsia="宋体" w:cs="宋体" w:hint="eastAsia"/>
                <w:b/>
                <w:bCs/>
                <w:sz w:val="24"/>
              </w:rPr>
              <w:t>备注</w:t>
            </w:r>
          </w:p>
        </w:tc>
      </w:tr>
      <w:tr>
        <w:tc>
          <w:tcPr>
            <w:tcW w:w="900" w:type="dxa"/>
            <w:noWrap/>
            <w:vAlign w:val="center"/>
          </w:tcPr>
          <w:p>
            <w:pPr>
              <w:spacing w:line="460" w:lineRule="exact"/>
              <w:rPr>
                <w:rFonts w:ascii="宋体" w:eastAsia="宋体" w:cs="宋体"/>
                <w:sz w:val="24"/>
              </w:rPr>
            </w:pPr>
            <w:r>
              <w:rPr>
                <w:rFonts w:ascii="宋体" w:eastAsia="宋体" w:cs="宋体" w:hint="eastAsia"/>
                <w:sz w:val="24"/>
              </w:rPr>
              <w:t>1</w:t>
            </w:r>
          </w:p>
        </w:tc>
        <w:tc>
          <w:tcPr>
            <w:tcW w:w="1807" w:type="dxa"/>
            <w:noWrap/>
            <w:vAlign w:val="center"/>
          </w:tcPr>
          <w:p>
            <w:pPr>
              <w:spacing w:line="460" w:lineRule="exact"/>
              <w:jc w:val="center"/>
              <w:rPr>
                <w:rFonts w:ascii="宋体" w:eastAsia="宋体" w:cs="宋体"/>
                <w:sz w:val="24"/>
              </w:rPr>
            </w:pPr>
            <w:r>
              <w:rPr>
                <w:rFonts w:ascii="宋体" w:eastAsia="宋体" w:cs="宋体" w:hint="eastAsia"/>
                <w:sz w:val="24"/>
              </w:rPr>
              <w:t>物业经理</w:t>
            </w:r>
          </w:p>
        </w:tc>
        <w:tc>
          <w:tcPr>
            <w:tcW w:w="1846" w:type="dxa"/>
            <w:noWrap/>
            <w:vAlign w:val="center"/>
          </w:tcPr>
          <w:p>
            <w:pPr>
              <w:spacing w:line="460" w:lineRule="exact"/>
              <w:jc w:val="center"/>
              <w:rPr>
                <w:rFonts w:ascii="宋体" w:eastAsia="宋体" w:cs="宋体"/>
                <w:sz w:val="24"/>
              </w:rPr>
            </w:pPr>
            <w:r>
              <w:rPr>
                <w:rFonts w:ascii="宋体" w:eastAsia="宋体" w:cs="宋体"/>
                <w:sz w:val="24"/>
              </w:rPr>
              <w:t>1</w:t>
            </w:r>
          </w:p>
        </w:tc>
        <w:tc>
          <w:tcPr>
            <w:tcW w:w="4519" w:type="dxa"/>
            <w:noWrap/>
          </w:tcPr>
          <w:p>
            <w:pPr>
              <w:spacing w:line="460" w:lineRule="exact"/>
              <w:jc w:val="center"/>
              <w:rPr>
                <w:rFonts w:ascii="宋体" w:eastAsia="宋体" w:cs="宋体"/>
                <w:sz w:val="24"/>
              </w:rPr>
            </w:pPr>
          </w:p>
        </w:tc>
      </w:tr>
      <w:tr>
        <w:tc>
          <w:tcPr>
            <w:tcW w:w="900" w:type="dxa"/>
            <w:noWrap/>
            <w:vAlign w:val="center"/>
          </w:tcPr>
          <w:p>
            <w:pPr>
              <w:spacing w:line="460" w:lineRule="exact"/>
              <w:ind w:firstLineChars="200" w:firstLine="480"/>
              <w:rPr>
                <w:rFonts w:ascii="宋体" w:eastAsia="宋体" w:cs="宋体"/>
                <w:sz w:val="24"/>
              </w:rPr>
            </w:pPr>
            <w:r>
              <w:rPr>
                <w:rFonts w:ascii="宋体" w:eastAsia="宋体" w:cs="宋体" w:hint="eastAsia"/>
                <w:sz w:val="24"/>
              </w:rPr>
              <w:t>2</w:t>
            </w:r>
          </w:p>
        </w:tc>
        <w:tc>
          <w:tcPr>
            <w:tcW w:w="1807" w:type="dxa"/>
            <w:noWrap/>
            <w:vAlign w:val="center"/>
          </w:tcPr>
          <w:p>
            <w:pPr>
              <w:spacing w:line="460" w:lineRule="exact"/>
              <w:jc w:val="center"/>
              <w:rPr>
                <w:rFonts w:ascii="宋体" w:eastAsia="宋体" w:cs="宋体"/>
                <w:sz w:val="24"/>
              </w:rPr>
            </w:pPr>
            <w:r>
              <w:rPr>
                <w:rFonts w:ascii="宋体" w:eastAsia="宋体" w:cs="宋体" w:hint="eastAsia"/>
                <w:sz w:val="24"/>
              </w:rPr>
              <w:t>会场服务</w:t>
            </w:r>
          </w:p>
        </w:tc>
        <w:tc>
          <w:tcPr>
            <w:tcW w:w="1846" w:type="dxa"/>
            <w:noWrap/>
            <w:vAlign w:val="center"/>
          </w:tcPr>
          <w:p>
            <w:pPr>
              <w:spacing w:line="460" w:lineRule="exact"/>
              <w:jc w:val="center"/>
              <w:rPr>
                <w:rFonts w:ascii="宋体" w:eastAsia="宋体" w:cs="宋体"/>
                <w:sz w:val="24"/>
              </w:rPr>
            </w:pPr>
            <w:r>
              <w:rPr>
                <w:rFonts w:ascii="宋体" w:eastAsia="宋体" w:cs="宋体" w:hint="eastAsia"/>
                <w:sz w:val="24"/>
              </w:rPr>
              <w:t>2</w:t>
            </w:r>
          </w:p>
        </w:tc>
        <w:tc>
          <w:tcPr>
            <w:tcW w:w="4519" w:type="dxa"/>
            <w:noWrap/>
          </w:tcPr>
          <w:p>
            <w:pPr>
              <w:spacing w:line="460" w:lineRule="exact"/>
              <w:jc w:val="center"/>
              <w:rPr>
                <w:rFonts w:ascii="宋体" w:eastAsia="宋体" w:cs="宋体"/>
                <w:sz w:val="24"/>
              </w:rPr>
            </w:pPr>
          </w:p>
        </w:tc>
      </w:tr>
      <w:tr>
        <w:tc>
          <w:tcPr>
            <w:tcW w:w="900" w:type="dxa"/>
            <w:noWrap/>
            <w:vAlign w:val="center"/>
          </w:tcPr>
          <w:p>
            <w:pPr>
              <w:spacing w:line="460" w:lineRule="exact"/>
              <w:ind w:firstLineChars="200" w:firstLine="480"/>
              <w:rPr>
                <w:rFonts w:ascii="宋体" w:eastAsia="宋体" w:cs="宋体"/>
                <w:sz w:val="24"/>
              </w:rPr>
            </w:pPr>
            <w:r>
              <w:rPr>
                <w:rFonts w:ascii="宋体" w:eastAsia="宋体" w:cs="宋体" w:hint="eastAsia"/>
                <w:sz w:val="24"/>
              </w:rPr>
              <w:t>3</w:t>
            </w:r>
          </w:p>
        </w:tc>
        <w:tc>
          <w:tcPr>
            <w:tcW w:w="1807" w:type="dxa"/>
            <w:noWrap/>
            <w:vAlign w:val="center"/>
          </w:tcPr>
          <w:p>
            <w:pPr>
              <w:spacing w:line="460" w:lineRule="exact"/>
              <w:jc w:val="center"/>
              <w:rPr>
                <w:rFonts w:ascii="宋体" w:eastAsia="宋体" w:cs="宋体"/>
                <w:sz w:val="24"/>
              </w:rPr>
            </w:pPr>
            <w:r>
              <w:rPr>
                <w:rFonts w:ascii="宋体" w:eastAsia="宋体" w:cs="宋体" w:hint="eastAsia"/>
                <w:sz w:val="24"/>
              </w:rPr>
              <w:t>保安</w:t>
            </w:r>
          </w:p>
        </w:tc>
        <w:tc>
          <w:tcPr>
            <w:tcW w:w="1846" w:type="dxa"/>
            <w:noWrap/>
            <w:vAlign w:val="center"/>
          </w:tcPr>
          <w:p>
            <w:pPr>
              <w:spacing w:line="460" w:lineRule="exact"/>
              <w:jc w:val="center"/>
              <w:rPr>
                <w:rFonts w:ascii="宋体" w:eastAsia="宋体" w:cs="宋体"/>
                <w:sz w:val="24"/>
              </w:rPr>
            </w:pPr>
            <w:r>
              <w:rPr>
                <w:rFonts w:ascii="宋体" w:eastAsia="宋体" w:cs="宋体"/>
                <w:sz w:val="24"/>
              </w:rPr>
              <w:t>10</w:t>
            </w:r>
          </w:p>
        </w:tc>
        <w:tc>
          <w:tcPr>
            <w:tcW w:w="4519" w:type="dxa"/>
            <w:noWrap/>
          </w:tcPr>
          <w:p>
            <w:pPr>
              <w:spacing w:line="460" w:lineRule="exact"/>
              <w:jc w:val="center"/>
              <w:rPr>
                <w:rFonts w:ascii="宋体" w:eastAsia="宋体" w:cs="宋体"/>
                <w:sz w:val="24"/>
              </w:rPr>
            </w:pPr>
            <w:r>
              <w:rPr>
                <w:rFonts w:ascii="宋体" w:eastAsia="宋体" w:cs="宋体" w:hint="eastAsia"/>
                <w:sz w:val="24"/>
              </w:rPr>
              <w:t>含保安主管1人</w:t>
            </w:r>
          </w:p>
        </w:tc>
      </w:tr>
      <w:tr>
        <w:tc>
          <w:tcPr>
            <w:tcW w:w="900" w:type="dxa"/>
            <w:noWrap/>
            <w:vAlign w:val="center"/>
          </w:tcPr>
          <w:p>
            <w:pPr>
              <w:spacing w:line="460" w:lineRule="exact"/>
              <w:ind w:firstLineChars="200" w:firstLine="480"/>
              <w:rPr>
                <w:rFonts w:ascii="宋体" w:eastAsia="宋体" w:cs="宋体"/>
                <w:sz w:val="24"/>
              </w:rPr>
            </w:pPr>
            <w:r>
              <w:rPr>
                <w:rFonts w:ascii="宋体" w:eastAsia="宋体" w:cs="宋体" w:hint="eastAsia"/>
                <w:sz w:val="24"/>
              </w:rPr>
              <w:t>4</w:t>
            </w:r>
          </w:p>
        </w:tc>
        <w:tc>
          <w:tcPr>
            <w:tcW w:w="1807" w:type="dxa"/>
            <w:noWrap/>
          </w:tcPr>
          <w:p>
            <w:pPr>
              <w:spacing w:line="460" w:lineRule="exact"/>
              <w:jc w:val="center"/>
              <w:rPr>
                <w:rFonts w:ascii="宋体" w:eastAsia="宋体" w:cs="宋体"/>
                <w:sz w:val="24"/>
              </w:rPr>
            </w:pPr>
            <w:r>
              <w:rPr>
                <w:rFonts w:ascii="宋体" w:eastAsia="宋体" w:cs="宋体" w:hint="eastAsia"/>
                <w:sz w:val="24"/>
              </w:rPr>
              <w:t>保洁</w:t>
            </w:r>
          </w:p>
        </w:tc>
        <w:tc>
          <w:tcPr>
            <w:tcW w:w="1846" w:type="dxa"/>
            <w:noWrap/>
          </w:tcPr>
          <w:p>
            <w:pPr>
              <w:spacing w:line="460" w:lineRule="exact"/>
              <w:jc w:val="center"/>
              <w:rPr>
                <w:rFonts w:ascii="宋体" w:eastAsia="宋体" w:cs="宋体"/>
                <w:sz w:val="24"/>
              </w:rPr>
            </w:pPr>
            <w:r>
              <w:rPr>
                <w:rFonts w:ascii="宋体" w:eastAsia="宋体" w:cs="宋体" w:hint="eastAsia"/>
                <w:sz w:val="24"/>
              </w:rPr>
              <w:t>10</w:t>
            </w:r>
          </w:p>
        </w:tc>
        <w:tc>
          <w:tcPr>
            <w:tcW w:w="4519" w:type="dxa"/>
            <w:noWrap/>
          </w:tcPr>
          <w:p>
            <w:pPr>
              <w:spacing w:line="460" w:lineRule="exact"/>
              <w:jc w:val="center"/>
              <w:rPr>
                <w:rFonts w:ascii="宋体" w:eastAsia="宋体" w:cs="宋体"/>
                <w:sz w:val="24"/>
              </w:rPr>
            </w:pPr>
          </w:p>
        </w:tc>
      </w:tr>
      <w:tr>
        <w:trPr>
          <w:trHeight w:val="385"/>
        </w:trPr>
        <w:tc>
          <w:tcPr>
            <w:tcW w:w="900" w:type="dxa"/>
            <w:noWrap/>
            <w:vAlign w:val="center"/>
          </w:tcPr>
          <w:p>
            <w:pPr>
              <w:spacing w:line="460" w:lineRule="exact"/>
              <w:ind w:firstLineChars="200" w:firstLine="480"/>
              <w:rPr>
                <w:rFonts w:ascii="宋体" w:eastAsia="宋体" w:cs="宋体"/>
                <w:sz w:val="24"/>
              </w:rPr>
            </w:pPr>
            <w:r>
              <w:rPr>
                <w:rFonts w:ascii="宋体" w:eastAsia="宋体" w:cs="宋体" w:hint="eastAsia"/>
                <w:sz w:val="24"/>
              </w:rPr>
              <w:t>5</w:t>
            </w:r>
          </w:p>
        </w:tc>
        <w:tc>
          <w:tcPr>
            <w:tcW w:w="1807" w:type="dxa"/>
            <w:noWrap/>
          </w:tcPr>
          <w:p>
            <w:pPr>
              <w:spacing w:line="460" w:lineRule="exact"/>
              <w:jc w:val="center"/>
              <w:rPr>
                <w:rFonts w:ascii="宋体" w:eastAsia="宋体" w:cs="宋体"/>
                <w:sz w:val="24"/>
              </w:rPr>
            </w:pPr>
            <w:r>
              <w:rPr>
                <w:rFonts w:ascii="宋体" w:eastAsia="宋体" w:cs="宋体" w:hint="eastAsia"/>
                <w:sz w:val="24"/>
              </w:rPr>
              <w:t>花工</w:t>
            </w:r>
          </w:p>
        </w:tc>
        <w:tc>
          <w:tcPr>
            <w:tcW w:w="1846" w:type="dxa"/>
            <w:noWrap/>
          </w:tcPr>
          <w:p>
            <w:pPr>
              <w:spacing w:line="460" w:lineRule="exact"/>
              <w:jc w:val="center"/>
              <w:rPr>
                <w:rFonts w:ascii="宋体" w:eastAsia="宋体" w:cs="宋体"/>
                <w:sz w:val="24"/>
              </w:rPr>
            </w:pPr>
            <w:r>
              <w:rPr>
                <w:rFonts w:ascii="宋体" w:eastAsia="宋体" w:cs="宋体"/>
                <w:sz w:val="24"/>
              </w:rPr>
              <w:t>1</w:t>
            </w:r>
          </w:p>
        </w:tc>
        <w:tc>
          <w:tcPr>
            <w:tcW w:w="4519" w:type="dxa"/>
            <w:noWrap/>
          </w:tcPr>
          <w:p>
            <w:pPr>
              <w:spacing w:line="460" w:lineRule="exact"/>
              <w:jc w:val="center"/>
              <w:rPr>
                <w:rFonts w:ascii="宋体" w:eastAsia="宋体" w:cs="宋体"/>
                <w:sz w:val="24"/>
              </w:rPr>
            </w:pPr>
          </w:p>
        </w:tc>
      </w:tr>
      <w:tr>
        <w:tc>
          <w:tcPr>
            <w:tcW w:w="900" w:type="dxa"/>
            <w:noWrap/>
            <w:vAlign w:val="center"/>
          </w:tcPr>
          <w:p>
            <w:pPr>
              <w:spacing w:line="460" w:lineRule="exact"/>
              <w:ind w:firstLineChars="200" w:firstLine="480"/>
              <w:rPr>
                <w:rFonts w:ascii="宋体" w:eastAsia="宋体" w:cs="宋体"/>
                <w:sz w:val="24"/>
              </w:rPr>
            </w:pPr>
            <w:r>
              <w:rPr>
                <w:rFonts w:ascii="宋体" w:eastAsia="宋体" w:cs="宋体" w:hint="eastAsia"/>
                <w:sz w:val="24"/>
              </w:rPr>
              <w:t>6</w:t>
            </w:r>
          </w:p>
        </w:tc>
        <w:tc>
          <w:tcPr>
            <w:tcW w:w="1807" w:type="dxa"/>
            <w:noWrap/>
          </w:tcPr>
          <w:p>
            <w:pPr>
              <w:spacing w:line="460" w:lineRule="exact"/>
              <w:jc w:val="center"/>
              <w:rPr>
                <w:rFonts w:ascii="宋体" w:eastAsia="宋体" w:cs="宋体"/>
                <w:sz w:val="24"/>
              </w:rPr>
            </w:pPr>
            <w:r>
              <w:rPr>
                <w:rFonts w:ascii="宋体" w:eastAsia="宋体" w:cs="宋体" w:hint="eastAsia"/>
                <w:sz w:val="24"/>
              </w:rPr>
              <w:t>消控员</w:t>
            </w:r>
          </w:p>
        </w:tc>
        <w:tc>
          <w:tcPr>
            <w:tcW w:w="1846" w:type="dxa"/>
            <w:noWrap/>
          </w:tcPr>
          <w:p>
            <w:pPr>
              <w:spacing w:line="460" w:lineRule="exact"/>
              <w:jc w:val="center"/>
              <w:rPr>
                <w:rFonts w:ascii="宋体" w:eastAsia="宋体" w:cs="宋体"/>
                <w:sz w:val="24"/>
              </w:rPr>
            </w:pPr>
            <w:r>
              <w:rPr>
                <w:rFonts w:ascii="宋体" w:eastAsia="宋体" w:cs="宋体" w:hint="eastAsia"/>
                <w:sz w:val="24"/>
              </w:rPr>
              <w:t>4</w:t>
            </w:r>
          </w:p>
        </w:tc>
        <w:tc>
          <w:tcPr>
            <w:tcW w:w="4519" w:type="dxa"/>
            <w:noWrap/>
          </w:tcPr>
          <w:p>
            <w:pPr>
              <w:spacing w:line="460" w:lineRule="exact"/>
              <w:jc w:val="center"/>
              <w:rPr>
                <w:rFonts w:ascii="宋体" w:eastAsia="宋体" w:cs="宋体"/>
                <w:sz w:val="24"/>
              </w:rPr>
            </w:pPr>
          </w:p>
        </w:tc>
      </w:tr>
      <w:tr>
        <w:tc>
          <w:tcPr>
            <w:tcW w:w="900" w:type="dxa"/>
            <w:noWrap/>
            <w:vAlign w:val="center"/>
          </w:tcPr>
          <w:p>
            <w:pPr>
              <w:spacing w:line="460" w:lineRule="exact"/>
              <w:ind w:firstLineChars="200" w:firstLine="480"/>
              <w:rPr>
                <w:rFonts w:ascii="宋体" w:eastAsia="宋体" w:cs="宋体"/>
                <w:sz w:val="24"/>
              </w:rPr>
            </w:pPr>
            <w:r>
              <w:rPr>
                <w:rFonts w:ascii="宋体" w:eastAsia="宋体" w:cs="宋体" w:hint="eastAsia"/>
                <w:sz w:val="24"/>
              </w:rPr>
              <w:t>7</w:t>
            </w:r>
          </w:p>
        </w:tc>
        <w:tc>
          <w:tcPr>
            <w:tcW w:w="1807" w:type="dxa"/>
            <w:noWrap/>
          </w:tcPr>
          <w:p>
            <w:pPr>
              <w:spacing w:line="460" w:lineRule="exact"/>
              <w:jc w:val="center"/>
              <w:rPr>
                <w:rFonts w:ascii="宋体" w:eastAsia="宋体" w:cs="宋体"/>
                <w:sz w:val="24"/>
              </w:rPr>
            </w:pPr>
            <w:r>
              <w:rPr>
                <w:rFonts w:ascii="宋体" w:eastAsia="宋体" w:cs="宋体" w:hint="eastAsia"/>
                <w:sz w:val="24"/>
              </w:rPr>
              <w:t>水电工等维修维护人员</w:t>
            </w:r>
          </w:p>
        </w:tc>
        <w:tc>
          <w:tcPr>
            <w:tcW w:w="1846" w:type="dxa"/>
            <w:noWrap/>
          </w:tcPr>
          <w:p>
            <w:pPr>
              <w:spacing w:line="460" w:lineRule="exact"/>
              <w:jc w:val="center"/>
              <w:rPr>
                <w:rFonts w:ascii="宋体" w:eastAsia="宋体" w:cs="宋体"/>
                <w:sz w:val="24"/>
              </w:rPr>
            </w:pPr>
            <w:r>
              <w:rPr>
                <w:rFonts w:ascii="宋体" w:eastAsia="宋体" w:cs="宋体"/>
                <w:sz w:val="24"/>
              </w:rPr>
              <w:t>2</w:t>
            </w:r>
          </w:p>
        </w:tc>
        <w:tc>
          <w:tcPr>
            <w:tcW w:w="4519" w:type="dxa"/>
            <w:noWrap/>
          </w:tcPr>
          <w:p>
            <w:pPr>
              <w:spacing w:line="460" w:lineRule="exact"/>
              <w:jc w:val="center"/>
              <w:rPr>
                <w:rFonts w:ascii="宋体" w:eastAsia="宋体" w:cs="宋体"/>
                <w:sz w:val="24"/>
              </w:rPr>
            </w:pPr>
            <w:r>
              <w:rPr>
                <w:rFonts w:ascii="宋体" w:eastAsia="宋体" w:cs="宋体" w:hint="eastAsia"/>
                <w:sz w:val="24"/>
              </w:rPr>
              <w:t>水电工要求有高、低配电电工证</w:t>
            </w:r>
          </w:p>
        </w:tc>
      </w:tr>
      <w:tr>
        <w:tc>
          <w:tcPr>
            <w:tcW w:w="900" w:type="dxa"/>
            <w:noWrap/>
            <w:vAlign w:val="center"/>
          </w:tcPr>
          <w:p>
            <w:pPr>
              <w:spacing w:line="460" w:lineRule="exact"/>
              <w:jc w:val="center"/>
              <w:rPr>
                <w:rFonts w:ascii="宋体" w:eastAsia="宋体" w:cs="宋体"/>
                <w:sz w:val="24"/>
              </w:rPr>
            </w:pPr>
            <w:r>
              <w:rPr>
                <w:rFonts w:ascii="宋体" w:eastAsia="宋体" w:cs="宋体" w:hint="eastAsia"/>
                <w:sz w:val="24"/>
              </w:rPr>
              <w:t>合计</w:t>
            </w:r>
          </w:p>
        </w:tc>
        <w:tc>
          <w:tcPr>
            <w:tcW w:w="1807" w:type="dxa"/>
            <w:noWrap/>
          </w:tcPr>
          <w:p>
            <w:pPr>
              <w:spacing w:line="460" w:lineRule="exact"/>
              <w:jc w:val="center"/>
              <w:rPr>
                <w:rFonts w:ascii="宋体" w:eastAsia="宋体" w:cs="宋体"/>
                <w:sz w:val="24"/>
              </w:rPr>
            </w:pPr>
          </w:p>
        </w:tc>
        <w:tc>
          <w:tcPr>
            <w:tcW w:w="1846" w:type="dxa"/>
            <w:noWrap/>
          </w:tcPr>
          <w:p>
            <w:pPr>
              <w:spacing w:line="460" w:lineRule="exact"/>
              <w:jc w:val="center"/>
              <w:rPr>
                <w:rFonts w:ascii="宋体" w:eastAsia="宋体" w:cs="宋体"/>
                <w:sz w:val="24"/>
              </w:rPr>
            </w:pPr>
            <w:r>
              <w:rPr>
                <w:rFonts w:ascii="宋体" w:eastAsia="宋体" w:cs="宋体" w:hint="eastAsia"/>
                <w:sz w:val="24"/>
              </w:rPr>
              <w:t>30</w:t>
            </w:r>
          </w:p>
        </w:tc>
        <w:tc>
          <w:tcPr>
            <w:tcW w:w="4519" w:type="dxa"/>
            <w:noWrap/>
          </w:tcPr>
          <w:p>
            <w:pPr>
              <w:spacing w:line="460" w:lineRule="exact"/>
              <w:jc w:val="center"/>
              <w:rPr>
                <w:rFonts w:ascii="宋体" w:eastAsia="宋体" w:cs="宋体"/>
                <w:sz w:val="24"/>
              </w:rPr>
            </w:pPr>
            <w:r>
              <w:rPr>
                <w:rFonts w:ascii="宋体" w:eastAsia="宋体" w:cs="宋体" w:hint="eastAsia"/>
                <w:sz w:val="24"/>
              </w:rPr>
              <w:t>30名服务人员数量为最低配置要求。</w:t>
            </w:r>
          </w:p>
        </w:tc>
      </w:tr>
    </w:tbl>
    <w:p>
      <w:pPr>
        <w:spacing w:line="460" w:lineRule="atLeast"/>
        <w:ind w:firstLineChars="200" w:firstLine="480"/>
        <w:rPr>
          <w:rFonts w:ascii="宋体" w:eastAsia="宋体" w:cs="宋体"/>
          <w:sz w:val="24"/>
        </w:rPr>
      </w:pPr>
      <w:r>
        <w:rPr>
          <w:rFonts w:ascii="宋体" w:eastAsia="宋体" w:cs="宋体" w:hint="eastAsia"/>
          <w:sz w:val="24"/>
        </w:rPr>
        <w:t xml:space="preserve">★2.人员配置要求说明 </w:t>
      </w:r>
    </w:p>
    <w:p>
      <w:pPr>
        <w:spacing w:line="460" w:lineRule="atLeast"/>
        <w:ind w:firstLineChars="200" w:firstLine="480"/>
        <w:rPr>
          <w:rFonts w:ascii="宋体" w:eastAsia="宋体" w:cs="宋体"/>
          <w:sz w:val="24"/>
        </w:rPr>
      </w:pPr>
      <w:r>
        <w:rPr>
          <w:rFonts w:ascii="宋体" w:eastAsia="宋体" w:cs="宋体" w:hint="eastAsia"/>
          <w:sz w:val="24"/>
        </w:rPr>
        <w:t xml:space="preserve">（1）物业经理 </w:t>
      </w:r>
    </w:p>
    <w:p>
      <w:pPr>
        <w:spacing w:line="460" w:lineRule="atLeast"/>
        <w:ind w:firstLineChars="200" w:firstLine="480"/>
        <w:rPr>
          <w:rFonts w:ascii="宋体" w:eastAsia="宋体" w:cs="宋体"/>
          <w:sz w:val="24"/>
        </w:rPr>
      </w:pPr>
      <w:r>
        <w:rPr>
          <w:rFonts w:ascii="宋体" w:eastAsia="宋体" w:cs="宋体" w:hint="eastAsia"/>
          <w:sz w:val="24"/>
        </w:rPr>
        <w:t>①中标人须委派至少1名人员为本外包项目的负责人（项目经理），</w:t>
      </w:r>
      <w:r>
        <w:rPr>
          <w:rFonts w:ascii="宋体" w:cs="宋体" w:hint="eastAsia"/>
          <w:bCs/>
          <w:sz w:val="24"/>
        </w:rPr>
        <w:t>有中级以上职称或</w:t>
      </w:r>
      <w:r>
        <w:rPr>
          <w:rFonts w:ascii="宋体" w:eastAsia="宋体" w:cs="宋体" w:hint="eastAsia"/>
          <w:sz w:val="24"/>
        </w:rPr>
        <w:t>大专以上学历，45周岁以下，具有3年以上行政机关办公大楼物业管理经验，持有物业经理资格证书或全国物业管理企业经理资格证书，</w:t>
        <w:tab/>
        <w:t>沟通能力较强，形象良好。</w:t>
      </w:r>
    </w:p>
    <w:p>
      <w:pPr>
        <w:spacing w:line="460" w:lineRule="atLeast"/>
        <w:ind w:firstLineChars="200" w:firstLine="480"/>
        <w:rPr>
          <w:rFonts w:ascii="宋体" w:eastAsia="宋体" w:cs="宋体"/>
          <w:sz w:val="24"/>
        </w:rPr>
      </w:pPr>
      <w:r>
        <w:rPr>
          <w:rFonts w:ascii="宋体" w:eastAsia="宋体" w:cs="宋体" w:hint="eastAsia"/>
          <w:sz w:val="24"/>
        </w:rPr>
        <w:t>②项目经理上下班时间须跟随招标人工作时间（加班情况除外），工作时间内，未经招标人书面允许不得做与本项目无关工作。请假、培训、调岗等事宜须事先告知招标人并经招标人同意后，由中标人安排相应技能水平人员代岗，同时不得影响本项目正常开展。项目经理须参加招标人或其主管单位组织的检查、考核、应知应会测试等，如检查、考核、测试未达到招标人要求，招标人有权要求更换项目经理。</w:t>
      </w:r>
    </w:p>
    <w:p>
      <w:pPr>
        <w:spacing w:line="460" w:lineRule="atLeast"/>
        <w:ind w:firstLineChars="200" w:firstLine="480"/>
        <w:rPr>
          <w:rFonts w:ascii="宋体" w:eastAsia="宋体" w:cs="宋体"/>
          <w:sz w:val="24"/>
        </w:rPr>
      </w:pPr>
      <w:r>
        <w:rPr>
          <w:rFonts w:ascii="宋体" w:eastAsia="宋体" w:cs="宋体" w:hint="eastAsia"/>
          <w:sz w:val="24"/>
        </w:rPr>
        <w:t>③对本项目的服务情况及时掌握，配合招标人的各项检查工作，定期做好项目管理台账，满足各项管理需求，如：、垃圾分类台账、设备维护台账、人员管理台账、培训台账、应急处理处置台账、投诉处理反馈台账、检查台账等。</w:t>
      </w:r>
    </w:p>
    <w:p>
      <w:pPr>
        <w:spacing w:line="460" w:lineRule="atLeast"/>
        <w:ind w:firstLineChars="100" w:firstLine="240"/>
        <w:rPr>
          <w:rFonts w:ascii="宋体" w:eastAsia="宋体" w:cs="宋体"/>
          <w:sz w:val="24"/>
        </w:rPr>
      </w:pPr>
      <w:r>
        <w:rPr>
          <w:rFonts w:ascii="宋体" w:eastAsia="宋体" w:cs="宋体" w:hint="eastAsia"/>
          <w:sz w:val="24"/>
        </w:rPr>
        <w:t xml:space="preserve"> ④根据招标人内部防控有关要求，对公共区域消毒、外来人员管控、车辆管理等定期开展检查。</w:t>
      </w:r>
    </w:p>
    <w:p>
      <w:pPr>
        <w:spacing w:line="460" w:lineRule="atLeast"/>
        <w:ind w:firstLineChars="100" w:firstLine="240"/>
        <w:rPr>
          <w:rFonts w:ascii="微软雅黑" w:eastAsia="微软雅黑" w:cs="微软雅黑"/>
          <w:bCs/>
          <w:szCs w:val="21"/>
        </w:rPr>
      </w:pPr>
      <w:r>
        <w:rPr>
          <w:rFonts w:ascii="宋体" w:eastAsia="宋体" w:cs="宋体" w:hint="eastAsia"/>
          <w:sz w:val="24"/>
        </w:rPr>
        <w:t xml:space="preserve"> ⑤完成招标人交办的其他任务。</w:t>
      </w:r>
    </w:p>
    <w:p>
      <w:pPr>
        <w:spacing w:line="460" w:lineRule="atLeast"/>
        <w:ind w:firstLineChars="200" w:firstLine="480"/>
        <w:rPr>
          <w:rFonts w:ascii="宋体" w:eastAsia="宋体" w:cs="宋体"/>
          <w:sz w:val="24"/>
        </w:rPr>
      </w:pPr>
      <w:r>
        <w:rPr>
          <w:rFonts w:ascii="宋体" w:eastAsia="宋体" w:cs="宋体" w:hint="eastAsia"/>
          <w:sz w:val="24"/>
        </w:rPr>
        <w:t>（2）会场服务</w:t>
      </w:r>
    </w:p>
    <w:p>
      <w:pPr>
        <w:spacing w:line="460" w:lineRule="atLeast"/>
        <w:ind w:firstLineChars="200" w:firstLine="480"/>
        <w:rPr>
          <w:rFonts w:ascii="宋体" w:eastAsia="宋体" w:cs="宋体"/>
          <w:sz w:val="24"/>
        </w:rPr>
      </w:pPr>
      <w:r>
        <w:rPr>
          <w:rFonts w:ascii="宋体" w:eastAsia="宋体" w:cs="宋体" w:hint="eastAsia"/>
          <w:sz w:val="24"/>
        </w:rPr>
        <w:t>①大专以上，女性，35周岁以下，形象气质佳，身高1.60米以上，具有2年以上实操工作经验。</w:t>
      </w:r>
    </w:p>
    <w:p>
      <w:pPr>
        <w:pStyle w:val="28"/>
        <w:spacing w:afterLines="0" w:after="50" w:line="460" w:lineRule="atLeast"/>
        <w:rPr>
          <w:rFonts w:ascii="宋体" w:eastAsia="宋体" w:cs="宋体"/>
          <w:kern w:val="2"/>
          <w:szCs w:val="24"/>
        </w:rPr>
      </w:pPr>
      <w:r>
        <w:rPr>
          <w:rFonts w:ascii="宋体" w:eastAsia="宋体" w:cs="宋体" w:hint="eastAsia"/>
          <w:kern w:val="2"/>
          <w:szCs w:val="24"/>
        </w:rPr>
        <w:t>② 经过餐饮及物业管理专业培训,知晓会务接待相关礼仪；做好会前准备、会中服务和会后服务。主要是会议倒水、布置、茶歇、席位牌制作和会议前的设备开启运行准备（要求熟练掌握腾讯会议等互联网会议操作、音响设备调试和操作等会议设备的使用方法及简单故障排除）、会议结束后的相关设备关闭整理等保障工作。</w:t>
      </w:r>
    </w:p>
    <w:p>
      <w:pPr>
        <w:pStyle w:val="28"/>
        <w:spacing w:afterLines="0" w:after="50" w:line="460" w:lineRule="atLeast"/>
        <w:rPr>
          <w:rFonts w:ascii="宋体" w:eastAsia="宋体" w:cs="宋体"/>
          <w:kern w:val="2"/>
          <w:szCs w:val="24"/>
        </w:rPr>
      </w:pPr>
      <w:r>
        <w:rPr>
          <w:rFonts w:ascii="宋体" w:eastAsia="宋体" w:cs="宋体" w:hint="eastAsia"/>
          <w:kern w:val="2"/>
          <w:szCs w:val="24"/>
        </w:rPr>
        <w:t>③负责大楼各会议室室内卫生、消毒及会务保障工作；</w:t>
      </w:r>
    </w:p>
    <w:p>
      <w:pPr>
        <w:pStyle w:val="28"/>
        <w:spacing w:afterLines="0" w:after="50" w:line="460" w:lineRule="atLeast"/>
        <w:rPr>
          <w:rFonts w:ascii="宋体" w:eastAsia="宋体" w:cs="宋体"/>
          <w:kern w:val="2"/>
          <w:szCs w:val="24"/>
        </w:rPr>
      </w:pPr>
      <w:r>
        <w:rPr>
          <w:rFonts w:ascii="宋体" w:eastAsia="宋体" w:cs="宋体" w:hint="eastAsia"/>
          <w:kern w:val="2"/>
          <w:szCs w:val="24"/>
        </w:rPr>
        <w:t>④完成项目经理交办的其他工作。</w:t>
      </w:r>
    </w:p>
    <w:p>
      <w:pPr>
        <w:pStyle w:val="28"/>
        <w:spacing w:afterLines="0" w:after="50" w:line="460" w:lineRule="atLeast"/>
        <w:rPr>
          <w:rFonts w:ascii="宋体" w:eastAsia="宋体" w:cs="宋体"/>
          <w:szCs w:val="24"/>
        </w:rPr>
      </w:pPr>
      <w:r>
        <w:rPr>
          <w:rFonts w:ascii="宋体" w:eastAsia="宋体" w:cs="宋体" w:hint="eastAsia"/>
          <w:szCs w:val="24"/>
        </w:rPr>
        <w:t xml:space="preserve">（3）保安 </w:t>
      </w:r>
    </w:p>
    <w:p>
      <w:pPr>
        <w:spacing w:line="460" w:lineRule="atLeast"/>
        <w:ind w:firstLineChars="200" w:firstLine="480"/>
        <w:rPr>
          <w:rFonts w:ascii="宋体" w:eastAsia="宋体" w:cs="宋体"/>
          <w:sz w:val="24"/>
        </w:rPr>
      </w:pPr>
      <w:r>
        <w:rPr>
          <w:rFonts w:ascii="宋体" w:eastAsia="宋体" w:cs="宋体" w:hint="eastAsia"/>
          <w:sz w:val="24"/>
        </w:rPr>
        <w:t xml:space="preserve">①保安总人数不少于10人，其中必须配备保安主管 1 名，持有高级以上保安员证，有两年及以上同类岗位管理经验，具备丰富的安全保卫管理经验，工作责任心强，熟悉安全保卫专业知识，负责监管、考核保安的日常工作。 </w:t>
      </w:r>
    </w:p>
    <w:p>
      <w:pPr>
        <w:spacing w:line="460" w:lineRule="atLeast"/>
        <w:ind w:firstLineChars="200" w:firstLine="480"/>
        <w:rPr>
          <w:rFonts w:ascii="宋体" w:eastAsia="宋体" w:cs="宋体"/>
          <w:sz w:val="24"/>
        </w:rPr>
      </w:pPr>
      <w:r>
        <w:rPr>
          <w:rFonts w:ascii="宋体" w:eastAsia="宋体" w:cs="宋体" w:hint="eastAsia"/>
          <w:sz w:val="24"/>
        </w:rPr>
        <w:t xml:space="preserve">②保安人员年龄在35-50周岁，其中年龄在45周岁以下的不少于50%。身体健康，工作认真负责并定期接受培训、持证上岗，持有保安员证。 </w:t>
      </w:r>
    </w:p>
    <w:p>
      <w:pPr>
        <w:spacing w:line="460" w:lineRule="atLeast"/>
        <w:ind w:firstLineChars="200" w:firstLine="480"/>
        <w:rPr>
          <w:rFonts w:ascii="宋体" w:eastAsia="宋体" w:cs="宋体"/>
          <w:sz w:val="24"/>
        </w:rPr>
      </w:pPr>
      <w:r>
        <w:rPr>
          <w:rFonts w:ascii="宋体" w:eastAsia="宋体" w:cs="宋体" w:hint="eastAsia"/>
          <w:sz w:val="24"/>
        </w:rPr>
        <w:t>（4）花工</w:t>
      </w:r>
    </w:p>
    <w:p>
      <w:pPr>
        <w:spacing w:line="460" w:lineRule="atLeast"/>
        <w:ind w:firstLineChars="200" w:firstLine="480"/>
        <w:rPr>
          <w:rFonts w:ascii="宋体" w:eastAsia="宋体" w:cs="宋体"/>
          <w:sz w:val="24"/>
        </w:rPr>
      </w:pPr>
      <w:r>
        <w:rPr>
          <w:rFonts w:ascii="宋体" w:eastAsia="宋体" w:cs="宋体" w:hint="eastAsia"/>
          <w:sz w:val="24"/>
        </w:rPr>
        <w:t xml:space="preserve">①绿化养护工配备人数不少于1人，必要时双休和节假日仍需上班。 </w:t>
      </w:r>
    </w:p>
    <w:p>
      <w:pPr>
        <w:spacing w:line="460" w:lineRule="atLeast"/>
        <w:ind w:firstLineChars="200" w:firstLine="480"/>
        <w:rPr>
          <w:rFonts w:ascii="宋体" w:eastAsia="宋体" w:cs="宋体"/>
          <w:sz w:val="24"/>
        </w:rPr>
      </w:pPr>
      <w:r>
        <w:rPr>
          <w:rFonts w:ascii="宋体" w:eastAsia="宋体" w:cs="宋体" w:hint="eastAsia"/>
          <w:sz w:val="24"/>
        </w:rPr>
        <w:t xml:space="preserve">②绿化养护人员年龄须在55周岁以下的男性，身体健康，工作认真负责。 </w:t>
      </w:r>
    </w:p>
    <w:p>
      <w:pPr>
        <w:spacing w:line="460" w:lineRule="atLeast"/>
        <w:ind w:firstLineChars="200" w:firstLine="480"/>
        <w:rPr>
          <w:rFonts w:ascii="宋体" w:eastAsia="宋体" w:cs="宋体"/>
          <w:sz w:val="24"/>
        </w:rPr>
      </w:pPr>
      <w:r>
        <w:rPr>
          <w:rFonts w:ascii="宋体" w:eastAsia="宋体" w:cs="宋体" w:hint="eastAsia"/>
          <w:sz w:val="24"/>
        </w:rPr>
        <w:t xml:space="preserve">③具有园艺及绿化养护专业知识和技能，从事相关工作两年以上。 </w:t>
      </w:r>
    </w:p>
    <w:p>
      <w:pPr>
        <w:spacing w:line="460" w:lineRule="atLeast"/>
        <w:ind w:firstLineChars="200" w:firstLine="480"/>
        <w:rPr>
          <w:rFonts w:ascii="宋体" w:eastAsia="宋体" w:cs="宋体"/>
          <w:sz w:val="24"/>
        </w:rPr>
      </w:pPr>
      <w:r>
        <w:rPr>
          <w:rFonts w:ascii="宋体" w:eastAsia="宋体" w:cs="宋体" w:hint="eastAsia"/>
          <w:sz w:val="24"/>
        </w:rPr>
        <w:t>（5）消控</w:t>
      </w:r>
    </w:p>
    <w:p>
      <w:pPr>
        <w:pStyle w:val="27"/>
        <w:spacing w:line="460" w:lineRule="atLeast"/>
        <w:rPr>
          <w:rFonts w:ascii="宋体" w:eastAsia="宋体" w:cs="宋体"/>
          <w:sz w:val="24"/>
        </w:rPr>
      </w:pPr>
      <w:r>
        <w:rPr>
          <w:rFonts w:ascii="宋体" w:eastAsia="宋体" w:cs="宋体" w:hint="eastAsia"/>
          <w:sz w:val="24"/>
        </w:rPr>
        <w:t xml:space="preserve">     消控人员年龄50周岁以下，具有消防设施操作员（原建（构）筑物消防员证）资格证书，能熟练操作监控和消防技能，具有2年以上工作经验。</w:t>
      </w:r>
    </w:p>
    <w:p>
      <w:pPr>
        <w:pStyle w:val="15"/>
        <w:spacing w:after="0" w:line="460" w:lineRule="atLeast"/>
        <w:ind w:firstLineChars="200" w:firstLine="480"/>
        <w:rPr>
          <w:rFonts w:ascii="宋体" w:eastAsia="宋体" w:cs="宋体"/>
          <w:sz w:val="24"/>
        </w:rPr>
      </w:pPr>
      <w:r>
        <w:rPr>
          <w:rFonts w:ascii="宋体" w:eastAsia="宋体" w:cs="宋体" w:hint="eastAsia"/>
          <w:sz w:val="24"/>
        </w:rPr>
        <w:t>（6）保洁</w:t>
      </w:r>
    </w:p>
    <w:p>
      <w:pPr>
        <w:pStyle w:val="15"/>
        <w:spacing w:after="0" w:line="460" w:lineRule="atLeast"/>
        <w:ind w:left="480"/>
        <w:rPr>
          <w:rFonts w:ascii="宋体" w:eastAsia="宋体" w:cs="宋体"/>
          <w:sz w:val="24"/>
        </w:rPr>
      </w:pPr>
      <w:r>
        <w:rPr>
          <w:rFonts w:ascii="宋体" w:eastAsia="宋体" w:cs="宋体" w:hint="eastAsia"/>
          <w:sz w:val="24"/>
        </w:rPr>
        <w:t xml:space="preserve"> 50周岁以下，有培训合格上岗证，能吃苦，无不良嗜好及不良记录。</w:t>
      </w:r>
    </w:p>
    <w:p>
      <w:pPr>
        <w:pStyle w:val="15"/>
        <w:spacing w:after="0" w:line="460" w:lineRule="atLeast"/>
        <w:ind w:left="480"/>
        <w:rPr>
          <w:rFonts w:ascii="宋体" w:eastAsia="宋体" w:cs="宋体"/>
          <w:sz w:val="24"/>
        </w:rPr>
      </w:pPr>
      <w:r>
        <w:rPr>
          <w:rFonts w:ascii="宋体" w:eastAsia="宋体" w:cs="宋体" w:hint="eastAsia"/>
          <w:sz w:val="24"/>
        </w:rPr>
        <w:t>（7）水电工等维修护人员</w:t>
      </w:r>
    </w:p>
    <w:p>
      <w:pPr>
        <w:pStyle w:val="15"/>
        <w:spacing w:after="0" w:line="460" w:lineRule="atLeast"/>
        <w:ind w:firstLineChars="200" w:firstLine="480"/>
        <w:rPr>
          <w:rFonts w:ascii="宋体" w:eastAsia="宋体" w:cs="宋体"/>
          <w:sz w:val="24"/>
        </w:rPr>
      </w:pPr>
      <w:r>
        <w:rPr>
          <w:rFonts w:ascii="宋体" w:eastAsia="宋体" w:cs="宋体" w:hint="eastAsia"/>
          <w:sz w:val="24"/>
        </w:rPr>
        <w:t>年龄50周岁以下，具有高、低配电电工证，有2年以上楼宇工程管理和实际操作经验，具有一定维护能力，能够排除各类设备故障，负责大楼各项设施设备的维修和配合维保单位做好检测、保养工作。</w:t>
      </w:r>
    </w:p>
    <w:p>
      <w:pPr>
        <w:spacing w:line="460" w:lineRule="atLeast"/>
        <w:ind w:firstLineChars="200" w:firstLine="480"/>
        <w:rPr>
          <w:rFonts w:ascii="宋体" w:eastAsia="宋体" w:cs="宋体"/>
          <w:sz w:val="24"/>
        </w:rPr>
      </w:pPr>
      <w:r>
        <w:rPr>
          <w:rFonts w:ascii="宋体" w:eastAsia="宋体" w:cs="宋体" w:hint="eastAsia"/>
          <w:sz w:val="24"/>
        </w:rPr>
        <w:t xml:space="preserve">3.人员管理要求 </w:t>
      </w:r>
    </w:p>
    <w:p>
      <w:pPr>
        <w:spacing w:line="460" w:lineRule="atLeast"/>
        <w:ind w:firstLineChars="200" w:firstLine="480"/>
        <w:rPr>
          <w:rFonts w:ascii="宋体" w:eastAsia="宋体" w:cs="宋体"/>
          <w:sz w:val="24"/>
        </w:rPr>
      </w:pPr>
      <w:r>
        <w:rPr>
          <w:rFonts w:ascii="宋体" w:eastAsia="宋体" w:cs="宋体" w:hint="eastAsia"/>
          <w:sz w:val="24"/>
        </w:rPr>
        <w:t xml:space="preserve">（1）工作认真负责，有较好的服务态度，基本无甲方员工投诉。 </w:t>
      </w:r>
    </w:p>
    <w:p>
      <w:pPr>
        <w:spacing w:line="460" w:lineRule="atLeast"/>
        <w:ind w:firstLineChars="200" w:firstLine="480"/>
        <w:rPr>
          <w:rFonts w:ascii="宋体" w:eastAsia="宋体" w:cs="宋体"/>
          <w:sz w:val="24"/>
        </w:rPr>
      </w:pPr>
      <w:r>
        <w:rPr>
          <w:rFonts w:ascii="宋体" w:eastAsia="宋体" w:cs="宋体" w:hint="eastAsia"/>
          <w:sz w:val="24"/>
        </w:rPr>
        <w:t xml:space="preserve">（2）中标人须依照《劳动法》招聘员工，所聘人员上岗前要证件齐全，并经采购人审核备案后方可上岗。 </w:t>
      </w:r>
    </w:p>
    <w:p>
      <w:pPr>
        <w:spacing w:line="460" w:lineRule="atLeast"/>
        <w:ind w:firstLineChars="200" w:firstLine="480"/>
        <w:rPr>
          <w:rFonts w:ascii="宋体" w:eastAsia="宋体" w:cs="宋体"/>
          <w:sz w:val="24"/>
        </w:rPr>
      </w:pPr>
      <w:r>
        <w:rPr>
          <w:rFonts w:ascii="宋体" w:eastAsia="宋体" w:cs="宋体" w:hint="eastAsia"/>
          <w:sz w:val="24"/>
        </w:rPr>
        <w:t xml:space="preserve">（3）工作人员全部实行培训上岗制，所有的录用人员需身体健康，能适应岗位需要。 </w:t>
      </w:r>
    </w:p>
    <w:p>
      <w:pPr>
        <w:spacing w:line="460" w:lineRule="atLeast"/>
        <w:ind w:firstLineChars="200" w:firstLine="480"/>
        <w:rPr>
          <w:rFonts w:ascii="宋体" w:eastAsia="宋体" w:cs="宋体"/>
          <w:sz w:val="24"/>
        </w:rPr>
      </w:pPr>
      <w:r>
        <w:rPr>
          <w:rFonts w:ascii="宋体" w:eastAsia="宋体" w:cs="宋体" w:hint="eastAsia"/>
          <w:sz w:val="24"/>
        </w:rPr>
        <w:t xml:space="preserve">（4）每个岗位均制订岗位职责，所有在岗人员必须严格按照岗位职责完成工作，工作时间不得擅离岗位，特殊情况下随叫随到。 </w:t>
      </w:r>
    </w:p>
    <w:p>
      <w:pPr>
        <w:spacing w:line="460" w:lineRule="atLeast"/>
        <w:ind w:firstLineChars="200" w:firstLine="480"/>
        <w:rPr>
          <w:rFonts w:ascii="宋体" w:eastAsia="宋体" w:cs="宋体"/>
          <w:sz w:val="24"/>
        </w:rPr>
      </w:pPr>
      <w:r>
        <w:rPr>
          <w:rFonts w:ascii="宋体" w:eastAsia="宋体" w:cs="宋体" w:hint="eastAsia"/>
          <w:sz w:val="24"/>
        </w:rPr>
        <w:t xml:space="preserve">（5）要求员工一切拾遗要缴公，对遗留物品及时登记，核实后归还，对无人认领物品及时上交海关。 </w:t>
      </w:r>
    </w:p>
    <w:p>
      <w:pPr>
        <w:spacing w:line="460" w:lineRule="atLeast"/>
        <w:ind w:firstLineChars="200" w:firstLine="480"/>
        <w:rPr>
          <w:rFonts w:ascii="宋体" w:eastAsia="宋体" w:cs="宋体"/>
          <w:sz w:val="24"/>
        </w:rPr>
      </w:pPr>
      <w:r>
        <w:rPr>
          <w:rFonts w:ascii="宋体" w:eastAsia="宋体" w:cs="宋体" w:hint="eastAsia"/>
          <w:sz w:val="24"/>
        </w:rPr>
        <w:t xml:space="preserve">（6）工作人员上岗时佩戴统一标志，按要求统一着装，仪容仪表规范整洁，文明服务。 </w:t>
      </w:r>
    </w:p>
    <w:p>
      <w:pPr>
        <w:spacing w:line="460" w:lineRule="atLeast"/>
        <w:ind w:firstLineChars="200" w:firstLine="480"/>
        <w:rPr>
          <w:rFonts w:ascii="宋体" w:eastAsia="宋体" w:cs="宋体"/>
          <w:sz w:val="24"/>
        </w:rPr>
      </w:pPr>
      <w:r>
        <w:rPr>
          <w:rFonts w:ascii="宋体" w:eastAsia="宋体" w:cs="宋体" w:hint="eastAsia"/>
          <w:sz w:val="24"/>
        </w:rPr>
        <w:t xml:space="preserve">（7）文明工作，训练有素，言语规范，认真负责。 </w:t>
      </w:r>
    </w:p>
    <w:p>
      <w:pPr>
        <w:spacing w:line="460" w:lineRule="atLeast"/>
        <w:ind w:firstLineChars="200" w:firstLine="480"/>
        <w:rPr>
          <w:rFonts w:ascii="宋体" w:eastAsia="宋体" w:cs="宋体"/>
          <w:sz w:val="24"/>
        </w:rPr>
      </w:pPr>
      <w:r>
        <w:rPr>
          <w:rFonts w:ascii="宋体" w:eastAsia="宋体" w:cs="宋体" w:hint="eastAsia"/>
          <w:sz w:val="24"/>
        </w:rPr>
        <w:t xml:space="preserve">（8）按照设施设备的性能和使用要求妥善使用采购人的各项设施设备。 </w:t>
      </w:r>
    </w:p>
    <w:p>
      <w:pPr>
        <w:spacing w:line="460" w:lineRule="atLeast"/>
        <w:ind w:firstLineChars="200" w:firstLine="480"/>
        <w:rPr>
          <w:rFonts w:ascii="宋体" w:eastAsia="宋体" w:cs="宋体"/>
          <w:sz w:val="24"/>
        </w:rPr>
      </w:pPr>
      <w:r>
        <w:rPr>
          <w:rFonts w:ascii="宋体" w:eastAsia="宋体" w:cs="宋体" w:hint="eastAsia"/>
          <w:sz w:val="24"/>
        </w:rPr>
        <w:t xml:space="preserve">（9）对于室内外的公共设施及时清洁、维护，若发现有损坏及时报修和配合验收。 </w:t>
      </w:r>
    </w:p>
    <w:p>
      <w:pPr>
        <w:spacing w:line="460" w:lineRule="atLeast"/>
        <w:ind w:firstLineChars="200" w:firstLine="480"/>
        <w:rPr>
          <w:rFonts w:ascii="宋体" w:eastAsia="宋体" w:cs="宋体"/>
          <w:sz w:val="24"/>
        </w:rPr>
      </w:pPr>
      <w:r>
        <w:rPr>
          <w:rFonts w:ascii="宋体" w:eastAsia="宋体" w:cs="宋体" w:hint="eastAsia"/>
          <w:sz w:val="24"/>
        </w:rPr>
        <w:t>（10）对于有损采购人的人和物行为或现象，应及时采取相应措施避免发生</w:t>
      </w:r>
    </w:p>
    <w:p>
      <w:pPr>
        <w:spacing w:line="460" w:lineRule="atLeast"/>
        <w:ind w:firstLineChars="200" w:firstLine="480"/>
        <w:rPr>
          <w:rFonts w:ascii="宋体" w:eastAsia="宋体" w:cs="宋体"/>
          <w:sz w:val="24"/>
        </w:rPr>
      </w:pPr>
      <w:r>
        <w:rPr>
          <w:rFonts w:ascii="宋体" w:eastAsia="宋体" w:cs="宋体" w:hint="eastAsia"/>
          <w:sz w:val="24"/>
        </w:rPr>
        <w:t xml:space="preserve">或扩大并及时报告。 </w:t>
      </w:r>
    </w:p>
    <w:p>
      <w:pPr>
        <w:spacing w:line="460" w:lineRule="atLeast"/>
        <w:ind w:firstLineChars="200" w:firstLine="480"/>
        <w:rPr>
          <w:rFonts w:ascii="宋体" w:eastAsia="宋体" w:cs="宋体"/>
          <w:sz w:val="24"/>
        </w:rPr>
      </w:pPr>
      <w:r>
        <w:rPr>
          <w:rFonts w:ascii="宋体" w:eastAsia="宋体" w:cs="宋体" w:hint="eastAsia"/>
          <w:sz w:val="24"/>
        </w:rPr>
        <w:t xml:space="preserve">（11）制定和实施有效措施确保合理使用水电，培养工作人员的节水、节电意识，杜绝长流水、长明灯等现象。 </w:t>
      </w:r>
    </w:p>
    <w:p>
      <w:pPr>
        <w:spacing w:line="460" w:lineRule="atLeast"/>
        <w:ind w:firstLineChars="200" w:firstLine="480"/>
        <w:rPr>
          <w:rFonts w:ascii="宋体" w:eastAsia="宋体" w:cs="宋体"/>
          <w:sz w:val="24"/>
        </w:rPr>
      </w:pPr>
      <w:r>
        <w:rPr>
          <w:rFonts w:ascii="宋体" w:eastAsia="宋体" w:cs="宋体" w:hint="eastAsia"/>
          <w:sz w:val="24"/>
        </w:rPr>
        <w:t xml:space="preserve">（12）人为损坏采购人的设施设备须照价赔偿。 </w:t>
      </w:r>
    </w:p>
    <w:p>
      <w:pPr>
        <w:pStyle w:val="28"/>
        <w:spacing w:afterLines="0" w:after="50" w:line="460" w:lineRule="atLeast"/>
        <w:rPr>
          <w:rFonts w:eastAsia="宋体"/>
        </w:rPr>
      </w:pPr>
      <w:r>
        <w:rPr>
          <w:rFonts w:ascii="宋体" w:eastAsia="宋体" w:cs="宋体" w:hint="eastAsia"/>
          <w:szCs w:val="24"/>
        </w:rPr>
        <w:t>（13）</w:t>
      </w:r>
      <w:r>
        <w:rPr>
          <w:rFonts w:ascii="宋体" w:eastAsia="宋体" w:cs="宋体" w:hint="eastAsia"/>
          <w:kern w:val="2"/>
          <w:szCs w:val="24"/>
        </w:rPr>
        <w:t>投标人中标后，于服务合同生效日期前五日，派驻项目经理需做好相关交接工作，并向招标人提供人员“定岗、定职、定责”清单，清单内容和样式须经招标人确认。不得将不符合招标需求的人员派驻本项目，包括人员健康、素质要求、技能要求及个人形象等。</w:t>
      </w:r>
    </w:p>
    <w:p>
      <w:pPr>
        <w:spacing w:line="460" w:lineRule="atLeast"/>
        <w:ind w:firstLineChars="200" w:firstLine="480"/>
        <w:rPr>
          <w:rFonts w:ascii="宋体" w:eastAsia="宋体" w:cs="宋体"/>
          <w:sz w:val="24"/>
        </w:rPr>
      </w:pPr>
      <w:r>
        <w:rPr>
          <w:rFonts w:ascii="宋体" w:eastAsia="宋体" w:cs="宋体" w:hint="eastAsia"/>
          <w:sz w:val="24"/>
        </w:rPr>
        <w:t>（九）特别说明</w:t>
      </w:r>
    </w:p>
    <w:p>
      <w:pPr>
        <w:tabs>
          <w:tab w:val="left" w:pos="5040"/>
        </w:tabs>
        <w:spacing w:line="460" w:lineRule="atLeast"/>
        <w:ind w:firstLineChars="200" w:firstLine="480"/>
        <w:rPr>
          <w:rFonts w:ascii="宋体" w:eastAsia="宋体" w:cs="宋体"/>
          <w:sz w:val="24"/>
        </w:rPr>
      </w:pPr>
      <w:r>
        <w:rPr>
          <w:rFonts w:ascii="宋体" w:eastAsia="宋体" w:cs="宋体" w:hint="eastAsia"/>
          <w:sz w:val="24"/>
        </w:rPr>
        <w:t>1.由采购人提供的设备设施，日常维护由中标人负责。</w:t>
      </w:r>
    </w:p>
    <w:p>
      <w:pPr>
        <w:spacing w:line="460" w:lineRule="atLeast"/>
        <w:ind w:firstLineChars="200" w:firstLine="480"/>
        <w:rPr>
          <w:rFonts w:ascii="宋体" w:eastAsia="宋体" w:cs="宋体"/>
          <w:sz w:val="24"/>
        </w:rPr>
      </w:pPr>
      <w:r>
        <w:rPr>
          <w:rFonts w:ascii="宋体" w:eastAsia="宋体" w:cs="宋体" w:hint="eastAsia"/>
          <w:sz w:val="24"/>
        </w:rPr>
        <w:t>2.在中标人提供的服务内容及标准不低于或少于招标文件规定的情况下，双方可在合同中对服务内容、标准及相关权利义务进行补充约定。</w:t>
      </w:r>
    </w:p>
    <w:p>
      <w:pPr>
        <w:spacing w:line="460" w:lineRule="atLeast"/>
        <w:ind w:firstLineChars="200" w:firstLine="480"/>
        <w:rPr>
          <w:rFonts w:eastAsia="宋体"/>
        </w:rPr>
      </w:pPr>
      <w:r>
        <w:rPr>
          <w:rFonts w:ascii="宋体" w:eastAsia="宋体" w:cs="宋体" w:hint="eastAsia"/>
          <w:b/>
          <w:bCs/>
          <w:sz w:val="24"/>
        </w:rPr>
        <w:t xml:space="preserve"> 五、物业服务考核办法</w:t>
      </w:r>
    </w:p>
    <w:p>
      <w:r>
        <w:rPr>
          <w:rFonts w:hint="eastAsia"/>
        </w:rPr>
        <w:br w:type="page"/>
      </w:r>
    </w:p>
    <w:p>
      <w:pPr>
        <w:sectPr>
          <w:headerReference w:type="default" r:id="rId2"/>
          <w:headerReference w:type="even" r:id="rId3"/>
          <w:headerReference w:type="first" r:id="rId4"/>
          <w:footerReference w:type="default" r:id="rId5"/>
          <w:footerReference w:type="even" r:id="rId6"/>
          <w:footerReference w:type="first" r:id="rId7"/>
          <w:pgSz w:w="11906" w:h="16838"/>
          <w:pgMar w:top="1134" w:right="1418" w:bottom="1134" w:left="1418" w:header="851" w:footer="851" w:gutter="0"/>
          <w:pgNumType w:start="1"/>
          <w:docGrid w:linePitch="312" w:charSpace="0"/>
        </w:sectPr>
      </w:pPr>
    </w:p>
    <w:tbl>
      <w:tblPr>
        <w:jc w:val="center"/>
        <w:tblW w:w="146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20"/>
        <w:gridCol w:w="873"/>
        <w:gridCol w:w="7791"/>
        <w:gridCol w:w="834"/>
        <w:gridCol w:w="1107"/>
        <w:gridCol w:w="3303"/>
        <w:gridCol w:w="6"/>
      </w:tblGrid>
      <w:tr>
        <w:trPr>
          <w:trHeight w:val="473"/>
          <w:tblHeader/>
        </w:trPr>
        <w:tc>
          <w:tcPr>
            <w:tcW w:w="14634" w:type="dxa"/>
            <w:gridSpan w:val="7"/>
            <w:tcBorders>
              <w:left w:val="single" w:sz="6" w:space="0" w:color="000000"/>
              <w:right w:val="single" w:sz="6" w:space="0" w:color="000000"/>
            </w:tcBorders>
            <w:vAlign w:val="center"/>
          </w:tcPr>
          <w:p>
            <w:pPr>
              <w:widowControl/>
              <w:kinsoku w:val="0"/>
              <w:autoSpaceDE w:val="0"/>
              <w:autoSpaceDN w:val="0"/>
              <w:snapToGrid w:val="0"/>
              <w:ind w:left="1196" w:right="1280" w:firstLineChars="1500" w:firstLine="4800"/>
              <w:textAlignment w:val="baseline"/>
              <w:rPr>
                <w:rFonts w:ascii="宋体" w:cs="宋体"/>
                <w:b/>
                <w:bCs/>
                <w:spacing w:val="-1"/>
                <w:sz w:val="32"/>
                <w:szCs w:val="32"/>
              </w:rPr>
            </w:pPr>
            <w:r>
              <w:rPr>
                <w:rFonts w:hint="eastAsia"/>
                <w:sz w:val="32"/>
                <w:szCs w:val="32"/>
              </w:rPr>
              <w:t>物业服务考核办法</w:t>
            </w:r>
          </w:p>
        </w:tc>
      </w:tr>
      <w:tr>
        <w:trPr>
          <w:trHeight w:val="473"/>
          <w:tblHeader/>
        </w:trPr>
        <w:tc>
          <w:tcPr>
            <w:tcW w:w="720" w:type="dxa"/>
            <w:tcBorders>
              <w:left w:val="single" w:sz="6" w:space="0" w:color="000000"/>
            </w:tcBorders>
            <w:vAlign w:val="center"/>
          </w:tcPr>
          <w:p>
            <w:pPr>
              <w:widowControl/>
              <w:kinsoku w:val="0"/>
              <w:autoSpaceDE w:val="0"/>
              <w:autoSpaceDN w:val="0"/>
              <w:snapToGrid w:val="0"/>
              <w:ind w:left="139"/>
              <w:textAlignment w:val="baseline"/>
              <w:rPr>
                <w:rFonts w:ascii="宋体" w:cs="宋体"/>
                <w:b/>
                <w:bCs/>
                <w:szCs w:val="21"/>
              </w:rPr>
            </w:pPr>
            <w:r>
              <w:rPr>
                <w:rFonts w:ascii="宋体" w:cs="宋体" w:hint="eastAsia"/>
                <w:b/>
                <w:bCs/>
                <w:spacing w:val="-1"/>
                <w:szCs w:val="21"/>
              </w:rPr>
              <w:t>序</w:t>
            </w:r>
            <w:r>
              <w:rPr>
                <w:rFonts w:ascii="宋体" w:cs="宋体" w:hint="eastAsia"/>
                <w:b/>
                <w:bCs/>
                <w:szCs w:val="21"/>
              </w:rPr>
              <w:t>号</w:t>
            </w:r>
          </w:p>
        </w:tc>
        <w:tc>
          <w:tcPr>
            <w:tcW w:w="873" w:type="dxa"/>
            <w:vAlign w:val="center"/>
          </w:tcPr>
          <w:p>
            <w:pPr>
              <w:widowControl/>
              <w:kinsoku w:val="0"/>
              <w:autoSpaceDE w:val="0"/>
              <w:autoSpaceDN w:val="0"/>
              <w:snapToGrid w:val="0"/>
              <w:ind w:left="205"/>
              <w:textAlignment w:val="baseline"/>
              <w:rPr>
                <w:rFonts w:ascii="宋体" w:cs="宋体"/>
                <w:b/>
                <w:bCs/>
                <w:szCs w:val="21"/>
              </w:rPr>
            </w:pPr>
            <w:r>
              <w:rPr>
                <w:rFonts w:ascii="宋体" w:cs="宋体" w:hint="eastAsia"/>
                <w:b/>
                <w:bCs/>
                <w:spacing w:val="-1"/>
                <w:szCs w:val="21"/>
              </w:rPr>
              <w:t>项</w:t>
            </w:r>
            <w:r>
              <w:rPr>
                <w:rFonts w:ascii="宋体" w:cs="宋体" w:hint="eastAsia"/>
                <w:b/>
                <w:bCs/>
                <w:szCs w:val="21"/>
              </w:rPr>
              <w:t>目</w:t>
            </w:r>
          </w:p>
        </w:tc>
        <w:tc>
          <w:tcPr>
            <w:tcW w:w="7791" w:type="dxa"/>
            <w:vAlign w:val="center"/>
          </w:tcPr>
          <w:p>
            <w:pPr>
              <w:widowControl/>
              <w:kinsoku w:val="0"/>
              <w:autoSpaceDE w:val="0"/>
              <w:autoSpaceDN w:val="0"/>
              <w:snapToGrid w:val="0"/>
              <w:ind w:left="2968" w:firstLine="486"/>
              <w:textAlignment w:val="baseline"/>
              <w:rPr>
                <w:rFonts w:ascii="宋体" w:cs="宋体"/>
                <w:b/>
                <w:bCs/>
                <w:szCs w:val="21"/>
              </w:rPr>
            </w:pPr>
            <w:r>
              <w:rPr>
                <w:rFonts w:ascii="宋体" w:cs="宋体" w:hint="eastAsia"/>
                <w:b/>
                <w:bCs/>
                <w:spacing w:val="1"/>
                <w:szCs w:val="21"/>
              </w:rPr>
              <w:t>考核</w:t>
            </w:r>
            <w:r>
              <w:rPr>
                <w:rFonts w:ascii="宋体" w:cs="宋体" w:hint="eastAsia"/>
                <w:b/>
                <w:bCs/>
                <w:szCs w:val="21"/>
              </w:rPr>
              <w:t>标准</w:t>
            </w:r>
          </w:p>
        </w:tc>
        <w:tc>
          <w:tcPr>
            <w:tcW w:w="834" w:type="dxa"/>
            <w:vAlign w:val="center"/>
          </w:tcPr>
          <w:p>
            <w:pPr>
              <w:widowControl/>
              <w:kinsoku w:val="0"/>
              <w:autoSpaceDE w:val="0"/>
              <w:autoSpaceDN w:val="0"/>
              <w:snapToGrid w:val="0"/>
              <w:ind w:left="268" w:firstLine="478"/>
              <w:textAlignment w:val="baseline"/>
              <w:rPr>
                <w:rFonts w:ascii="宋体" w:cs="宋体"/>
                <w:b/>
                <w:bCs/>
                <w:szCs w:val="21"/>
              </w:rPr>
            </w:pPr>
            <w:r>
              <w:rPr>
                <w:rFonts w:ascii="宋体" w:cs="宋体" w:hint="eastAsia"/>
                <w:b/>
                <w:bCs/>
                <w:spacing w:val="-1"/>
                <w:szCs w:val="21"/>
              </w:rPr>
              <w:t>分</w:t>
            </w:r>
            <w:r>
              <w:rPr>
                <w:rFonts w:ascii="宋体" w:cs="宋体" w:hint="eastAsia"/>
                <w:b/>
                <w:bCs/>
                <w:szCs w:val="21"/>
              </w:rPr>
              <w:t>值</w:t>
            </w:r>
          </w:p>
        </w:tc>
        <w:tc>
          <w:tcPr>
            <w:tcW w:w="1107" w:type="dxa"/>
            <w:vAlign w:val="center"/>
          </w:tcPr>
          <w:p>
            <w:pPr>
              <w:widowControl/>
              <w:kinsoku w:val="0"/>
              <w:autoSpaceDE w:val="0"/>
              <w:autoSpaceDN w:val="0"/>
              <w:snapToGrid w:val="0"/>
              <w:ind w:left="256" w:firstLine="478"/>
              <w:textAlignment w:val="baseline"/>
              <w:rPr>
                <w:rFonts w:ascii="宋体" w:cs="宋体"/>
                <w:b/>
                <w:bCs/>
                <w:szCs w:val="21"/>
              </w:rPr>
            </w:pPr>
            <w:r>
              <w:rPr>
                <w:rFonts w:ascii="宋体" w:cs="宋体" w:hint="eastAsia"/>
                <w:b/>
                <w:bCs/>
                <w:spacing w:val="-1"/>
                <w:szCs w:val="21"/>
              </w:rPr>
              <w:t>评</w:t>
            </w:r>
            <w:r>
              <w:rPr>
                <w:rFonts w:ascii="宋体" w:cs="宋体" w:hint="eastAsia"/>
                <w:b/>
                <w:bCs/>
                <w:szCs w:val="21"/>
              </w:rPr>
              <w:t>分</w:t>
            </w:r>
          </w:p>
        </w:tc>
        <w:tc>
          <w:tcPr>
            <w:tcW w:w="3309" w:type="dxa"/>
            <w:gridSpan w:val="2"/>
            <w:tcBorders>
              <w:right w:val="single" w:sz="6" w:space="0" w:color="000000"/>
            </w:tcBorders>
            <w:vAlign w:val="center"/>
          </w:tcPr>
          <w:p>
            <w:pPr>
              <w:widowControl/>
              <w:kinsoku w:val="0"/>
              <w:autoSpaceDE w:val="0"/>
              <w:autoSpaceDN w:val="0"/>
              <w:snapToGrid w:val="0"/>
              <w:ind w:left="1196" w:firstLine="478"/>
              <w:textAlignment w:val="baseline"/>
              <w:rPr>
                <w:rFonts w:ascii="宋体" w:cs="宋体"/>
                <w:b/>
                <w:bCs/>
                <w:spacing w:val="-1"/>
                <w:szCs w:val="21"/>
              </w:rPr>
            </w:pPr>
            <w:r>
              <w:rPr>
                <w:rFonts w:ascii="宋体" w:cs="宋体" w:hint="eastAsia"/>
                <w:b/>
                <w:bCs/>
                <w:spacing w:val="-1"/>
                <w:szCs w:val="21"/>
              </w:rPr>
              <w:t>评</w:t>
            </w:r>
            <w:r>
              <w:rPr>
                <w:rFonts w:ascii="宋体" w:cs="宋体" w:hint="eastAsia"/>
                <w:b/>
                <w:bCs/>
                <w:szCs w:val="21"/>
              </w:rPr>
              <w:t>分细则</w:t>
            </w:r>
          </w:p>
        </w:tc>
      </w:tr>
      <w:tr>
        <w:trPr>
          <w:trHeight w:val="199"/>
          <w:tblHeader/>
        </w:trPr>
        <w:tc>
          <w:tcPr>
            <w:tcW w:w="720" w:type="dxa"/>
            <w:vMerge w:val="restart"/>
            <w:tcBorders>
              <w:left w:val="single" w:sz="6" w:space="0" w:color="000000"/>
            </w:tcBorders>
            <w:vAlign w:val="center"/>
          </w:tcPr>
          <w:p>
            <w:pPr>
              <w:widowControl/>
              <w:kinsoku w:val="0"/>
              <w:autoSpaceDE w:val="0"/>
              <w:autoSpaceDN w:val="0"/>
              <w:snapToGrid w:val="0"/>
              <w:jc w:val="center"/>
              <w:textAlignment w:val="baseline"/>
              <w:rPr>
                <w:rFonts w:ascii="宋体" w:cs="宋体"/>
                <w:szCs w:val="21"/>
              </w:rPr>
            </w:pPr>
          </w:p>
          <w:p>
            <w:pPr>
              <w:widowControl/>
              <w:kinsoku w:val="0"/>
              <w:autoSpaceDE w:val="0"/>
              <w:autoSpaceDN w:val="0"/>
              <w:snapToGrid w:val="0"/>
              <w:ind w:left="310"/>
              <w:jc w:val="center"/>
              <w:textAlignment w:val="baseline"/>
              <w:rPr>
                <w:rFonts w:ascii="宋体" w:cs="宋体"/>
                <w:szCs w:val="21"/>
              </w:rPr>
            </w:pPr>
            <w:r>
              <w:rPr>
                <w:rFonts w:ascii="宋体" w:cs="宋体" w:hint="eastAsia"/>
                <w:szCs w:val="21"/>
              </w:rPr>
              <w:t>1</w:t>
            </w:r>
          </w:p>
        </w:tc>
        <w:tc>
          <w:tcPr>
            <w:tcW w:w="873" w:type="dxa"/>
            <w:vMerge w:val="restart"/>
            <w:vAlign w:val="center"/>
          </w:tcPr>
          <w:p>
            <w:pPr>
              <w:widowControl/>
              <w:kinsoku w:val="0"/>
              <w:autoSpaceDE w:val="0"/>
              <w:autoSpaceDN w:val="0"/>
              <w:snapToGrid w:val="0"/>
              <w:ind w:left="209"/>
              <w:jc w:val="center"/>
              <w:textAlignment w:val="baseline"/>
              <w:rPr>
                <w:rFonts w:ascii="宋体" w:cs="宋体"/>
                <w:b/>
                <w:bCs/>
                <w:szCs w:val="21"/>
              </w:rPr>
            </w:pPr>
            <w:r>
              <w:rPr>
                <w:rFonts w:ascii="宋体" w:cs="宋体" w:hint="eastAsia"/>
                <w:b/>
                <w:bCs/>
                <w:szCs w:val="21"/>
              </w:rPr>
              <w:t>人员</w:t>
            </w:r>
          </w:p>
          <w:p>
            <w:pPr>
              <w:widowControl/>
              <w:kinsoku w:val="0"/>
              <w:autoSpaceDE w:val="0"/>
              <w:autoSpaceDN w:val="0"/>
              <w:snapToGrid w:val="0"/>
              <w:ind w:left="209"/>
              <w:jc w:val="center"/>
              <w:textAlignment w:val="baseline"/>
              <w:rPr>
                <w:rFonts w:ascii="宋体" w:cs="宋体"/>
                <w:b/>
                <w:bCs/>
                <w:szCs w:val="21"/>
              </w:rPr>
            </w:pPr>
            <w:r>
              <w:rPr>
                <w:rFonts w:ascii="宋体" w:cs="宋体" w:hint="eastAsia"/>
                <w:b/>
                <w:bCs/>
                <w:szCs w:val="21"/>
              </w:rPr>
              <w:t>管理</w:t>
            </w:r>
          </w:p>
        </w:tc>
        <w:tc>
          <w:tcPr>
            <w:tcW w:w="7791" w:type="dxa"/>
            <w:vAlign w:val="center"/>
          </w:tcPr>
          <w:p>
            <w:pPr>
              <w:widowControl/>
              <w:numPr>
                <w:ilvl w:val="0"/>
                <w:numId w:val="1"/>
              </w:numPr>
              <w:kinsoku w:val="0"/>
              <w:autoSpaceDE w:val="0"/>
              <w:autoSpaceDN w:val="0"/>
              <w:snapToGrid w:val="0"/>
              <w:ind w:left="0" w:firstLineChars="200" w:firstLine="412"/>
              <w:textAlignment w:val="baseline"/>
              <w:rPr>
                <w:rFonts w:ascii="宋体" w:cs="宋体"/>
                <w:szCs w:val="21"/>
              </w:rPr>
            </w:pPr>
            <w:r>
              <w:rPr>
                <w:rFonts w:ascii="宋体" w:cs="宋体" w:hint="eastAsia"/>
                <w:spacing w:val="-2"/>
                <w:szCs w:val="21"/>
              </w:rPr>
              <w:t>实行</w:t>
            </w:r>
            <w:r>
              <w:rPr>
                <w:rFonts w:ascii="宋体" w:cs="宋体" w:hint="eastAsia"/>
                <w:spacing w:val="-1"/>
                <w:szCs w:val="21"/>
              </w:rPr>
              <w:t>持证上岗制度。</w:t>
            </w:r>
          </w:p>
        </w:tc>
        <w:tc>
          <w:tcPr>
            <w:tcW w:w="834" w:type="dxa"/>
            <w:vAlign w:val="center"/>
          </w:tcPr>
          <w:p>
            <w:pPr>
              <w:widowControl/>
              <w:kinsoku w:val="0"/>
              <w:autoSpaceDE w:val="0"/>
              <w:autoSpaceDN w:val="0"/>
              <w:snapToGrid w:val="0"/>
              <w:ind w:left="426"/>
              <w:textAlignment w:val="baseline"/>
              <w:rPr>
                <w:rFonts w:ascii="宋体" w:cs="宋体"/>
                <w:szCs w:val="21"/>
              </w:rPr>
            </w:pPr>
            <w:r>
              <w:rPr>
                <w:rFonts w:ascii="宋体" w:cs="宋体" w:hint="eastAsia"/>
                <w:szCs w:val="21"/>
              </w:rPr>
              <w:t>3</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restart"/>
            <w:tcBorders>
              <w:right w:val="single" w:sz="6" w:space="0" w:color="000000"/>
            </w:tcBorders>
            <w:vAlign w:val="center"/>
          </w:tcPr>
          <w:p>
            <w:pPr>
              <w:widowControl/>
              <w:kinsoku w:val="0"/>
              <w:autoSpaceDE w:val="0"/>
              <w:autoSpaceDN w:val="0"/>
              <w:snapToGrid w:val="0"/>
              <w:textAlignment w:val="baseline"/>
              <w:rPr>
                <w:rFonts w:ascii="宋体" w:cs="宋体"/>
                <w:szCs w:val="21"/>
              </w:rPr>
            </w:pPr>
          </w:p>
          <w:p>
            <w:pPr>
              <w:widowControl/>
              <w:kinsoku w:val="0"/>
              <w:autoSpaceDE w:val="0"/>
              <w:autoSpaceDN w:val="0"/>
              <w:snapToGrid w:val="0"/>
              <w:ind w:left="119" w:firstLine="394"/>
              <w:textAlignment w:val="baseline"/>
              <w:rPr>
                <w:rFonts w:ascii="宋体" w:cs="宋体"/>
                <w:spacing w:val="-22"/>
                <w:szCs w:val="21"/>
              </w:rPr>
            </w:pPr>
            <w:r>
              <w:rPr>
                <w:rFonts w:ascii="宋体" w:cs="宋体" w:hint="eastAsia"/>
                <w:spacing w:val="-22"/>
                <w:szCs w:val="21"/>
              </w:rPr>
              <w:t>凡</w:t>
            </w:r>
            <w:r>
              <w:rPr>
                <w:rFonts w:ascii="宋体" w:cs="宋体" w:hint="eastAsia"/>
                <w:spacing w:val="-14"/>
                <w:szCs w:val="21"/>
              </w:rPr>
              <w:t>有</w:t>
            </w:r>
            <w:r>
              <w:rPr>
                <w:rFonts w:ascii="宋体" w:cs="宋体" w:hint="eastAsia"/>
                <w:spacing w:val="-11"/>
                <w:szCs w:val="21"/>
              </w:rPr>
              <w:t xml:space="preserve"> 1 人不符合， 扣除 1 分</w:t>
            </w:r>
          </w:p>
        </w:tc>
      </w:tr>
      <w:tr>
        <w:trPr>
          <w:trHeight w:val="481"/>
          <w:tblHeader/>
        </w:trPr>
        <w:tc>
          <w:tcPr>
            <w:tcW w:w="720" w:type="dxa"/>
            <w:vMerge/>
            <w:tcBorders>
              <w:left w:val="single" w:sz="6" w:space="0" w:color="000000"/>
            </w:tcBorders>
            <w:vAlign w:val="center"/>
          </w:tcPr>
          <w:p/>
        </w:tc>
        <w:tc>
          <w:tcPr>
            <w:tcW w:w="873" w:type="dxa"/>
            <w:vMerge/>
            <w:vAlign w:val="center"/>
          </w:tcPr>
          <w:p/>
        </w:tc>
        <w:tc>
          <w:tcPr>
            <w:tcW w:w="7791" w:type="dxa"/>
            <w:vAlign w:val="center"/>
          </w:tcPr>
          <w:p>
            <w:pPr>
              <w:widowControl/>
              <w:numPr>
                <w:ilvl w:val="0"/>
                <w:numId w:val="1"/>
              </w:numPr>
              <w:kinsoku w:val="0"/>
              <w:autoSpaceDE w:val="0"/>
              <w:autoSpaceDN w:val="0"/>
              <w:snapToGrid w:val="0"/>
              <w:ind w:left="0" w:firstLineChars="200" w:firstLine="412"/>
              <w:textAlignment w:val="baseline"/>
              <w:rPr>
                <w:rFonts w:ascii="宋体" w:cs="宋体"/>
                <w:szCs w:val="21"/>
              </w:rPr>
            </w:pPr>
            <w:r>
              <w:rPr>
                <w:rFonts w:ascii="宋体" w:cs="宋体" w:hint="eastAsia"/>
                <w:spacing w:val="-2"/>
                <w:szCs w:val="21"/>
              </w:rPr>
              <w:t>项目投标时所承诺的项目工作人员，</w:t>
            </w:r>
            <w:r>
              <w:rPr>
                <w:rFonts w:ascii="宋体" w:cs="宋体" w:hint="eastAsia"/>
                <w:spacing w:val="-1"/>
                <w:szCs w:val="21"/>
              </w:rPr>
              <w:t>必须和承接此项目后开展工作的团队</w:t>
            </w:r>
            <w:r>
              <w:rPr>
                <w:rFonts w:ascii="宋体" w:cs="宋体" w:hint="eastAsia"/>
                <w:spacing w:val="-5"/>
                <w:szCs w:val="21"/>
              </w:rPr>
              <w:t>人员相符， 未征得采购人同意不得随意更换团队成员。</w:t>
            </w:r>
          </w:p>
        </w:tc>
        <w:tc>
          <w:tcPr>
            <w:tcW w:w="834" w:type="dxa"/>
            <w:vAlign w:val="center"/>
          </w:tcPr>
          <w:p>
            <w:pPr>
              <w:widowControl/>
              <w:kinsoku w:val="0"/>
              <w:autoSpaceDE w:val="0"/>
              <w:autoSpaceDN w:val="0"/>
              <w:snapToGrid w:val="0"/>
              <w:ind w:left="426"/>
              <w:textAlignment w:val="baseline"/>
              <w:rPr>
                <w:rFonts w:ascii="宋体" w:cs="宋体"/>
                <w:szCs w:val="21"/>
              </w:rPr>
            </w:pPr>
            <w:r>
              <w:rPr>
                <w:rFonts w:ascii="宋体" w:cs="宋体" w:hint="eastAsia"/>
                <w:szCs w:val="21"/>
              </w:rPr>
              <w:t>3</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right w:val="single" w:sz="6" w:space="0" w:color="000000"/>
            </w:tcBorders>
            <w:vAlign w:val="center"/>
          </w:tcPr>
          <w:p/>
        </w:tc>
      </w:tr>
      <w:tr>
        <w:trPr>
          <w:trHeight w:val="481"/>
          <w:tblHeader/>
        </w:trPr>
        <w:tc>
          <w:tcPr>
            <w:tcW w:w="720" w:type="dxa"/>
            <w:vMerge/>
            <w:tcBorders>
              <w:left w:val="single" w:sz="6" w:space="0" w:color="000000"/>
            </w:tcBorders>
            <w:vAlign w:val="center"/>
          </w:tcPr>
          <w:p/>
        </w:tc>
        <w:tc>
          <w:tcPr>
            <w:tcW w:w="873" w:type="dxa"/>
            <w:vMerge/>
            <w:vAlign w:val="center"/>
          </w:tcPr>
          <w:p/>
        </w:tc>
        <w:tc>
          <w:tcPr>
            <w:tcW w:w="7791" w:type="dxa"/>
            <w:vAlign w:val="center"/>
          </w:tcPr>
          <w:p>
            <w:pPr>
              <w:widowControl/>
              <w:numPr>
                <w:ilvl w:val="0"/>
                <w:numId w:val="1"/>
              </w:numPr>
              <w:kinsoku w:val="0"/>
              <w:autoSpaceDE w:val="0"/>
              <w:autoSpaceDN w:val="0"/>
              <w:snapToGrid w:val="0"/>
              <w:ind w:left="0" w:firstLineChars="200" w:firstLine="420"/>
              <w:textAlignment w:val="baseline"/>
              <w:rPr>
                <w:rFonts w:ascii="宋体" w:cs="宋体"/>
                <w:spacing w:val="-2"/>
                <w:szCs w:val="21"/>
              </w:rPr>
            </w:pPr>
            <w:r>
              <w:rPr>
                <w:rFonts w:ascii="宋体" w:cs="宋体" w:hint="eastAsia"/>
                <w:szCs w:val="21"/>
              </w:rPr>
              <w:t>项目经理更换至少提前20天、其他人员更换至少提前7天告知采购人。</w:t>
            </w:r>
          </w:p>
        </w:tc>
        <w:tc>
          <w:tcPr>
            <w:tcW w:w="834" w:type="dxa"/>
            <w:vAlign w:val="center"/>
          </w:tcPr>
          <w:p>
            <w:pPr>
              <w:widowControl/>
              <w:kinsoku w:val="0"/>
              <w:autoSpaceDE w:val="0"/>
              <w:autoSpaceDN w:val="0"/>
              <w:snapToGrid w:val="0"/>
              <w:ind w:left="426"/>
              <w:textAlignment w:val="baseline"/>
              <w:rPr>
                <w:rFonts w:ascii="宋体" w:cs="宋体"/>
                <w:szCs w:val="21"/>
              </w:rPr>
            </w:pPr>
            <w:r>
              <w:rPr>
                <w:rFonts w:ascii="宋体" w:cs="宋体" w:hint="eastAsia"/>
                <w:szCs w:val="21"/>
              </w:rPr>
              <w:t>2</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right w:val="single" w:sz="6" w:space="0" w:color="000000"/>
            </w:tcBorders>
            <w:vAlign w:val="center"/>
          </w:tcPr>
          <w:p/>
        </w:tc>
      </w:tr>
      <w:tr>
        <w:trPr>
          <w:trHeight w:val="481"/>
          <w:tblHeader/>
        </w:trPr>
        <w:tc>
          <w:tcPr>
            <w:tcW w:w="720" w:type="dxa"/>
            <w:vMerge/>
            <w:tcBorders>
              <w:left w:val="single" w:sz="6" w:space="0" w:color="000000"/>
            </w:tcBorders>
            <w:vAlign w:val="center"/>
          </w:tcPr>
          <w:p/>
        </w:tc>
        <w:tc>
          <w:tcPr>
            <w:tcW w:w="873" w:type="dxa"/>
            <w:vMerge/>
            <w:vAlign w:val="center"/>
          </w:tcPr>
          <w:p/>
        </w:tc>
        <w:tc>
          <w:tcPr>
            <w:tcW w:w="7791" w:type="dxa"/>
            <w:vAlign w:val="center"/>
          </w:tcPr>
          <w:p>
            <w:pPr>
              <w:widowControl/>
              <w:numPr>
                <w:ilvl w:val="0"/>
                <w:numId w:val="1"/>
              </w:numPr>
              <w:kinsoku w:val="0"/>
              <w:autoSpaceDE w:val="0"/>
              <w:autoSpaceDN w:val="0"/>
              <w:snapToGrid w:val="0"/>
              <w:ind w:left="0" w:firstLineChars="200" w:firstLine="420"/>
              <w:textAlignment w:val="baseline"/>
              <w:rPr>
                <w:rFonts w:ascii="宋体" w:cs="宋体"/>
                <w:szCs w:val="21"/>
              </w:rPr>
            </w:pPr>
            <w:r>
              <w:rPr>
                <w:rFonts w:ascii="宋体" w:cs="宋体" w:hint="eastAsia"/>
                <w:szCs w:val="21"/>
              </w:rPr>
              <w:t>保安员上岗前已参加岗前培训且培训合格。</w:t>
            </w:r>
          </w:p>
        </w:tc>
        <w:tc>
          <w:tcPr>
            <w:tcW w:w="834" w:type="dxa"/>
            <w:vAlign w:val="center"/>
          </w:tcPr>
          <w:p>
            <w:pPr>
              <w:widowControl/>
              <w:kinsoku w:val="0"/>
              <w:autoSpaceDE w:val="0"/>
              <w:autoSpaceDN w:val="0"/>
              <w:snapToGrid w:val="0"/>
              <w:ind w:left="426"/>
              <w:textAlignment w:val="baseline"/>
              <w:rPr>
                <w:rFonts w:ascii="宋体" w:cs="宋体"/>
                <w:szCs w:val="21"/>
              </w:rPr>
            </w:pPr>
            <w:r>
              <w:rPr>
                <w:rFonts w:ascii="宋体" w:cs="宋体" w:hint="eastAsia"/>
                <w:szCs w:val="21"/>
              </w:rPr>
              <w:t>2</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right w:val="single" w:sz="6" w:space="0" w:color="000000"/>
            </w:tcBorders>
            <w:vAlign w:val="center"/>
          </w:tcPr>
          <w:p/>
        </w:tc>
      </w:tr>
      <w:tr>
        <w:trPr>
          <w:trHeight w:val="481"/>
          <w:tblHeader/>
        </w:trPr>
        <w:tc>
          <w:tcPr>
            <w:tcW w:w="720" w:type="dxa"/>
            <w:vMerge/>
            <w:tcBorders>
              <w:left w:val="single" w:sz="6" w:space="0" w:color="000000"/>
            </w:tcBorders>
            <w:vAlign w:val="center"/>
          </w:tcPr>
          <w:p/>
        </w:tc>
        <w:tc>
          <w:tcPr>
            <w:tcW w:w="873" w:type="dxa"/>
            <w:vMerge/>
            <w:vAlign w:val="center"/>
          </w:tcPr>
          <w:p/>
        </w:tc>
        <w:tc>
          <w:tcPr>
            <w:tcW w:w="7791" w:type="dxa"/>
            <w:vAlign w:val="center"/>
          </w:tcPr>
          <w:p>
            <w:pPr>
              <w:numPr>
                <w:ilvl w:val="0"/>
                <w:numId w:val="1"/>
              </w:numPr>
              <w:ind w:left="0" w:firstLineChars="200" w:firstLine="420"/>
              <w:rPr>
                <w:rFonts w:ascii="宋体" w:cs="宋体"/>
                <w:szCs w:val="21"/>
              </w:rPr>
            </w:pPr>
            <w:r>
              <w:rPr>
                <w:rFonts w:ascii="宋体" w:cs="宋体" w:hint="eastAsia"/>
                <w:szCs w:val="21"/>
              </w:rPr>
              <w:t>保安员派驻前的背景审查工作，每半年不少于一次；对派驻保安员实行每月不少于一次的检查管理。</w:t>
            </w:r>
          </w:p>
        </w:tc>
        <w:tc>
          <w:tcPr>
            <w:tcW w:w="834" w:type="dxa"/>
            <w:vAlign w:val="center"/>
          </w:tcPr>
          <w:p>
            <w:pPr>
              <w:widowControl/>
              <w:kinsoku w:val="0"/>
              <w:autoSpaceDE w:val="0"/>
              <w:autoSpaceDN w:val="0"/>
              <w:snapToGrid w:val="0"/>
              <w:ind w:left="426"/>
              <w:textAlignment w:val="baseline"/>
              <w:rPr>
                <w:rFonts w:ascii="宋体" w:cs="宋体"/>
                <w:szCs w:val="21"/>
              </w:rPr>
            </w:pPr>
            <w:r>
              <w:rPr>
                <w:rFonts w:ascii="宋体" w:cs="宋体" w:hint="eastAsia"/>
                <w:szCs w:val="21"/>
              </w:rPr>
              <w:t>2</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right w:val="single" w:sz="6" w:space="0" w:color="000000"/>
            </w:tcBorders>
            <w:vAlign w:val="center"/>
          </w:tcPr>
          <w:p/>
        </w:tc>
      </w:tr>
      <w:tr>
        <w:trPr>
          <w:trHeight w:val="154"/>
          <w:tblHeader/>
        </w:trPr>
        <w:tc>
          <w:tcPr>
            <w:tcW w:w="720" w:type="dxa"/>
            <w:vMerge w:val="restart"/>
            <w:tcBorders>
              <w:left w:val="single" w:sz="6" w:space="0" w:color="000000"/>
            </w:tcBorders>
            <w:vAlign w:val="center"/>
          </w:tcPr>
          <w:p>
            <w:pPr>
              <w:widowControl/>
              <w:kinsoku w:val="0"/>
              <w:autoSpaceDE w:val="0"/>
              <w:autoSpaceDN w:val="0"/>
              <w:snapToGrid w:val="0"/>
              <w:jc w:val="center"/>
              <w:textAlignment w:val="baseline"/>
              <w:rPr>
                <w:rFonts w:ascii="宋体" w:cs="宋体"/>
                <w:szCs w:val="21"/>
              </w:rPr>
            </w:pPr>
            <w:r>
              <w:rPr>
                <w:rFonts w:ascii="宋体" w:cs="宋体" w:hint="eastAsia"/>
                <w:szCs w:val="21"/>
              </w:rPr>
              <w:t>2</w:t>
            </w:r>
          </w:p>
        </w:tc>
        <w:tc>
          <w:tcPr>
            <w:tcW w:w="873" w:type="dxa"/>
            <w:vMerge w:val="restart"/>
            <w:vAlign w:val="center"/>
          </w:tcPr>
          <w:p>
            <w:pPr>
              <w:widowControl/>
              <w:kinsoku w:val="0"/>
              <w:autoSpaceDE w:val="0"/>
              <w:autoSpaceDN w:val="0"/>
              <w:snapToGrid w:val="0"/>
              <w:jc w:val="center"/>
              <w:textAlignment w:val="baseline"/>
              <w:rPr>
                <w:rFonts w:ascii="宋体" w:cs="宋体"/>
                <w:b/>
                <w:bCs/>
                <w:szCs w:val="21"/>
              </w:rPr>
            </w:pPr>
            <w:r>
              <w:rPr>
                <w:rFonts w:ascii="宋体" w:cs="宋体" w:hint="eastAsia"/>
                <w:b/>
                <w:bCs/>
                <w:szCs w:val="21"/>
              </w:rPr>
              <w:t>制度</w:t>
            </w:r>
          </w:p>
          <w:p>
            <w:pPr>
              <w:widowControl/>
              <w:kinsoku w:val="0"/>
              <w:autoSpaceDE w:val="0"/>
              <w:autoSpaceDN w:val="0"/>
              <w:snapToGrid w:val="0"/>
              <w:jc w:val="center"/>
              <w:textAlignment w:val="baseline"/>
              <w:rPr>
                <w:rFonts w:ascii="宋体" w:cs="宋体"/>
                <w:b/>
                <w:bCs/>
                <w:szCs w:val="21"/>
              </w:rPr>
            </w:pPr>
            <w:r>
              <w:rPr>
                <w:rFonts w:ascii="宋体" w:cs="宋体" w:hint="eastAsia"/>
                <w:b/>
                <w:bCs/>
                <w:szCs w:val="21"/>
              </w:rPr>
              <w:t>履约</w:t>
            </w:r>
          </w:p>
        </w:tc>
        <w:tc>
          <w:tcPr>
            <w:tcW w:w="7791" w:type="dxa"/>
            <w:vAlign w:val="center"/>
          </w:tcPr>
          <w:p>
            <w:pPr>
              <w:widowControl/>
              <w:numPr>
                <w:ilvl w:val="0"/>
                <w:numId w:val="2"/>
              </w:numPr>
              <w:kinsoku w:val="0"/>
              <w:autoSpaceDE w:val="0"/>
              <w:autoSpaceDN w:val="0"/>
              <w:snapToGrid w:val="0"/>
              <w:ind w:left="0" w:firstLine="478"/>
              <w:textAlignment w:val="baseline"/>
              <w:rPr>
                <w:rFonts w:ascii="宋体" w:cs="宋体"/>
                <w:szCs w:val="21"/>
              </w:rPr>
            </w:pPr>
            <w:r>
              <w:rPr>
                <w:rFonts w:ascii="宋体" w:cs="宋体" w:hint="eastAsia"/>
                <w:spacing w:val="-1"/>
                <w:szCs w:val="21"/>
              </w:rPr>
              <w:t>遵守《物业管理服务人员行为</w:t>
            </w:r>
            <w:r>
              <w:rPr>
                <w:rFonts w:ascii="宋体" w:cs="宋体" w:hint="eastAsia"/>
                <w:szCs w:val="21"/>
              </w:rPr>
              <w:t>规范</w:t>
            </w:r>
            <w:r>
              <w:rPr>
                <w:rFonts w:ascii="宋体" w:cs="宋体" w:hint="eastAsia"/>
                <w:spacing w:val="-1"/>
                <w:szCs w:val="21"/>
              </w:rPr>
              <w:t>》</w:t>
            </w:r>
          </w:p>
        </w:tc>
        <w:tc>
          <w:tcPr>
            <w:tcW w:w="834" w:type="dxa"/>
            <w:vAlign w:val="center"/>
          </w:tcPr>
          <w:p>
            <w:pPr>
              <w:widowControl/>
              <w:kinsoku w:val="0"/>
              <w:autoSpaceDE w:val="0"/>
              <w:autoSpaceDN w:val="0"/>
              <w:snapToGrid w:val="0"/>
              <w:ind w:left="426"/>
              <w:textAlignment w:val="baseline"/>
              <w:rPr>
                <w:rFonts w:ascii="宋体" w:cs="宋体"/>
                <w:szCs w:val="21"/>
              </w:rPr>
            </w:pPr>
            <w:r>
              <w:rPr>
                <w:rFonts w:ascii="宋体" w:cs="宋体" w:hint="eastAsia"/>
                <w:szCs w:val="21"/>
              </w:rPr>
              <w:t>3</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restart"/>
            <w:tcBorders>
              <w:right w:val="single" w:sz="6" w:space="0" w:color="000000"/>
            </w:tcBorders>
            <w:vAlign w:val="center"/>
          </w:tcPr>
          <w:p>
            <w:pPr>
              <w:widowControl/>
              <w:kinsoku w:val="0"/>
              <w:autoSpaceDE w:val="0"/>
              <w:autoSpaceDN w:val="0"/>
              <w:snapToGrid w:val="0"/>
              <w:ind w:firstLine="478"/>
              <w:textAlignment w:val="baseline"/>
              <w:rPr>
                <w:rFonts w:ascii="宋体" w:cs="宋体"/>
                <w:szCs w:val="21"/>
              </w:rPr>
            </w:pPr>
            <w:r>
              <w:rPr>
                <w:rFonts w:ascii="宋体" w:cs="宋体" w:hint="eastAsia"/>
                <w:spacing w:val="-1"/>
                <w:szCs w:val="21"/>
              </w:rPr>
              <w:t>完全符合得</w:t>
            </w:r>
            <w:r>
              <w:rPr>
                <w:rFonts w:ascii="宋体" w:cs="宋体" w:hint="eastAsia"/>
                <w:szCs w:val="21"/>
              </w:rPr>
              <w:t>满分，部分符合相应</w:t>
            </w:r>
            <w:r>
              <w:rPr>
                <w:rFonts w:ascii="宋体" w:cs="宋体" w:hint="eastAsia"/>
                <w:spacing w:val="-18"/>
                <w:szCs w:val="21"/>
              </w:rPr>
              <w:t>递</w:t>
            </w:r>
            <w:r>
              <w:rPr>
                <w:rFonts w:ascii="宋体" w:cs="宋体" w:hint="eastAsia"/>
                <w:spacing w:val="-12"/>
                <w:szCs w:val="21"/>
              </w:rPr>
              <w:t>减， 不符合得 0 分</w:t>
            </w:r>
          </w:p>
        </w:tc>
      </w:tr>
      <w:tr>
        <w:trPr>
          <w:trHeight w:val="90"/>
          <w:tblHeader/>
        </w:trPr>
        <w:tc>
          <w:tcPr>
            <w:tcW w:w="720" w:type="dxa"/>
            <w:vMerge/>
            <w:tcBorders>
              <w:left w:val="single" w:sz="6" w:space="0" w:color="000000"/>
            </w:tcBorders>
            <w:vAlign w:val="center"/>
          </w:tcPr>
          <w:p/>
        </w:tc>
        <w:tc>
          <w:tcPr>
            <w:tcW w:w="873" w:type="dxa"/>
            <w:vMerge/>
            <w:vAlign w:val="center"/>
          </w:tcPr>
          <w:p/>
        </w:tc>
        <w:tc>
          <w:tcPr>
            <w:tcW w:w="7791" w:type="dxa"/>
            <w:vAlign w:val="center"/>
          </w:tcPr>
          <w:p>
            <w:pPr>
              <w:widowControl/>
              <w:numPr>
                <w:ilvl w:val="0"/>
                <w:numId w:val="2"/>
              </w:numPr>
              <w:kinsoku w:val="0"/>
              <w:autoSpaceDE w:val="0"/>
              <w:autoSpaceDN w:val="0"/>
              <w:snapToGrid w:val="0"/>
              <w:ind w:left="0" w:firstLine="474"/>
              <w:textAlignment w:val="baseline"/>
              <w:rPr>
                <w:rFonts w:ascii="宋体" w:cs="宋体"/>
                <w:szCs w:val="21"/>
              </w:rPr>
            </w:pPr>
            <w:r>
              <w:rPr>
                <w:rFonts w:ascii="宋体" w:cs="宋体" w:hint="eastAsia"/>
                <w:spacing w:val="-2"/>
                <w:szCs w:val="21"/>
              </w:rPr>
              <w:t>健全的管理流程、</w:t>
            </w:r>
            <w:r>
              <w:rPr>
                <w:rFonts w:ascii="宋体" w:cs="宋体" w:hint="eastAsia"/>
                <w:szCs w:val="21"/>
              </w:rPr>
              <w:t>管理机制，运作规范。</w:t>
            </w:r>
          </w:p>
        </w:tc>
        <w:tc>
          <w:tcPr>
            <w:tcW w:w="834" w:type="dxa"/>
            <w:vAlign w:val="center"/>
          </w:tcPr>
          <w:p>
            <w:pPr>
              <w:widowControl/>
              <w:kinsoku w:val="0"/>
              <w:autoSpaceDE w:val="0"/>
              <w:autoSpaceDN w:val="0"/>
              <w:snapToGrid w:val="0"/>
              <w:ind w:left="426"/>
              <w:textAlignment w:val="baseline"/>
              <w:rPr>
                <w:rFonts w:ascii="宋体" w:cs="宋体"/>
                <w:szCs w:val="21"/>
              </w:rPr>
            </w:pPr>
            <w:r>
              <w:rPr>
                <w:rFonts w:ascii="宋体" w:cs="宋体" w:hint="eastAsia"/>
                <w:szCs w:val="21"/>
              </w:rPr>
              <w:t>3</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right w:val="single" w:sz="6" w:space="0" w:color="000000"/>
            </w:tcBorders>
            <w:vAlign w:val="center"/>
          </w:tcPr>
          <w:p/>
        </w:tc>
      </w:tr>
      <w:tr>
        <w:trPr>
          <w:trHeight w:val="90"/>
          <w:tblHeader/>
        </w:trPr>
        <w:tc>
          <w:tcPr>
            <w:tcW w:w="720" w:type="dxa"/>
            <w:vMerge/>
            <w:tcBorders>
              <w:left w:val="single" w:sz="6" w:space="0" w:color="000000"/>
            </w:tcBorders>
            <w:vAlign w:val="center"/>
          </w:tcPr>
          <w:p/>
        </w:tc>
        <w:tc>
          <w:tcPr>
            <w:tcW w:w="873" w:type="dxa"/>
            <w:vMerge/>
            <w:vAlign w:val="center"/>
          </w:tcPr>
          <w:p/>
        </w:tc>
        <w:tc>
          <w:tcPr>
            <w:tcW w:w="7791" w:type="dxa"/>
            <w:vAlign w:val="center"/>
          </w:tcPr>
          <w:p>
            <w:pPr>
              <w:widowControl/>
              <w:numPr>
                <w:ilvl w:val="0"/>
                <w:numId w:val="2"/>
              </w:numPr>
              <w:kinsoku w:val="0"/>
              <w:autoSpaceDE w:val="0"/>
              <w:autoSpaceDN w:val="0"/>
              <w:snapToGrid w:val="0"/>
              <w:ind w:left="0" w:firstLine="482"/>
              <w:textAlignment w:val="baseline"/>
              <w:rPr>
                <w:rFonts w:ascii="宋体" w:cs="宋体"/>
                <w:szCs w:val="21"/>
              </w:rPr>
            </w:pPr>
            <w:r>
              <w:rPr>
                <w:rFonts w:ascii="宋体" w:cs="宋体" w:hint="eastAsia"/>
                <w:szCs w:val="21"/>
              </w:rPr>
              <w:t>健全的物业管理制度，遵守并执行。</w:t>
            </w:r>
          </w:p>
        </w:tc>
        <w:tc>
          <w:tcPr>
            <w:tcW w:w="834" w:type="dxa"/>
            <w:vAlign w:val="center"/>
          </w:tcPr>
          <w:p>
            <w:pPr>
              <w:widowControl/>
              <w:kinsoku w:val="0"/>
              <w:autoSpaceDE w:val="0"/>
              <w:autoSpaceDN w:val="0"/>
              <w:snapToGrid w:val="0"/>
              <w:ind w:left="426"/>
              <w:textAlignment w:val="baseline"/>
              <w:rPr>
                <w:rFonts w:ascii="宋体" w:cs="宋体"/>
                <w:szCs w:val="21"/>
              </w:rPr>
            </w:pPr>
            <w:r>
              <w:rPr>
                <w:rFonts w:ascii="宋体" w:cs="宋体" w:hint="eastAsia"/>
                <w:szCs w:val="21"/>
              </w:rPr>
              <w:t>3</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bottom w:val="single" w:sz="4" w:space="0" w:color="auto"/>
              <w:right w:val="single" w:sz="6" w:space="0" w:color="000000"/>
            </w:tcBorders>
            <w:vAlign w:val="center"/>
          </w:tcPr>
          <w:p/>
        </w:tc>
      </w:tr>
      <w:tr>
        <w:trPr>
          <w:trHeight w:val="340"/>
          <w:tblHeader/>
        </w:trPr>
        <w:tc>
          <w:tcPr>
            <w:tcW w:w="720" w:type="dxa"/>
            <w:vMerge w:val="restart"/>
            <w:vAlign w:val="center"/>
          </w:tcPr>
          <w:p>
            <w:pPr>
              <w:widowControl/>
              <w:kinsoku w:val="0"/>
              <w:autoSpaceDE w:val="0"/>
              <w:autoSpaceDN w:val="0"/>
              <w:snapToGrid w:val="0"/>
              <w:jc w:val="center"/>
              <w:textAlignment w:val="baseline"/>
              <w:rPr>
                <w:rFonts w:ascii="宋体" w:cs="宋体"/>
                <w:szCs w:val="21"/>
              </w:rPr>
            </w:pPr>
          </w:p>
          <w:p>
            <w:pPr>
              <w:widowControl/>
              <w:kinsoku w:val="0"/>
              <w:autoSpaceDE w:val="0"/>
              <w:autoSpaceDN w:val="0"/>
              <w:snapToGrid w:val="0"/>
              <w:jc w:val="center"/>
              <w:textAlignment w:val="baseline"/>
              <w:rPr>
                <w:rFonts w:ascii="宋体" w:cs="宋体"/>
                <w:szCs w:val="21"/>
              </w:rPr>
            </w:pPr>
          </w:p>
          <w:p>
            <w:pPr>
              <w:widowControl/>
              <w:kinsoku w:val="0"/>
              <w:autoSpaceDE w:val="0"/>
              <w:autoSpaceDN w:val="0"/>
              <w:snapToGrid w:val="0"/>
              <w:ind w:left="309"/>
              <w:jc w:val="center"/>
              <w:textAlignment w:val="baseline"/>
              <w:rPr>
                <w:rFonts w:ascii="宋体" w:cs="宋体"/>
                <w:szCs w:val="21"/>
              </w:rPr>
            </w:pPr>
            <w:r>
              <w:rPr>
                <w:rFonts w:ascii="宋体" w:cs="宋体" w:hint="eastAsia"/>
                <w:szCs w:val="21"/>
              </w:rPr>
              <w:t>3</w:t>
            </w:r>
          </w:p>
        </w:tc>
        <w:tc>
          <w:tcPr>
            <w:tcW w:w="873" w:type="dxa"/>
            <w:vMerge w:val="restart"/>
            <w:vAlign w:val="center"/>
          </w:tcPr>
          <w:p>
            <w:pPr>
              <w:widowControl/>
              <w:kinsoku w:val="0"/>
              <w:autoSpaceDE w:val="0"/>
              <w:autoSpaceDN w:val="0"/>
              <w:snapToGrid w:val="0"/>
              <w:textAlignment w:val="baseline"/>
              <w:rPr>
                <w:rFonts w:ascii="宋体" w:cs="宋体"/>
                <w:b/>
                <w:bCs/>
                <w:szCs w:val="21"/>
              </w:rPr>
            </w:pPr>
          </w:p>
          <w:p>
            <w:pPr>
              <w:widowControl/>
              <w:kinsoku w:val="0"/>
              <w:autoSpaceDE w:val="0"/>
              <w:autoSpaceDN w:val="0"/>
              <w:snapToGrid w:val="0"/>
              <w:ind w:left="210"/>
              <w:textAlignment w:val="baseline"/>
              <w:rPr>
                <w:rFonts w:ascii="宋体" w:cs="宋体"/>
                <w:b/>
                <w:bCs/>
                <w:spacing w:val="-2"/>
                <w:position w:val="9"/>
                <w:szCs w:val="21"/>
              </w:rPr>
            </w:pPr>
            <w:r>
              <w:rPr>
                <w:rFonts w:ascii="宋体" w:cs="宋体" w:hint="eastAsia"/>
                <w:b/>
                <w:bCs/>
                <w:spacing w:val="-2"/>
                <w:position w:val="9"/>
                <w:szCs w:val="21"/>
              </w:rPr>
              <w:t>保洁</w:t>
            </w:r>
          </w:p>
          <w:p>
            <w:pPr>
              <w:widowControl/>
              <w:kinsoku w:val="0"/>
              <w:autoSpaceDE w:val="0"/>
              <w:autoSpaceDN w:val="0"/>
              <w:snapToGrid w:val="0"/>
              <w:ind w:left="210"/>
              <w:textAlignment w:val="baseline"/>
              <w:rPr>
                <w:rFonts w:ascii="宋体" w:cs="宋体"/>
                <w:b/>
                <w:bCs/>
                <w:szCs w:val="21"/>
              </w:rPr>
            </w:pPr>
            <w:r>
              <w:rPr>
                <w:rFonts w:ascii="宋体" w:cs="宋体" w:hint="eastAsia"/>
                <w:b/>
                <w:bCs/>
                <w:spacing w:val="-2"/>
                <w:position w:val="9"/>
                <w:szCs w:val="21"/>
              </w:rPr>
              <w:t>服务</w:t>
            </w:r>
          </w:p>
        </w:tc>
        <w:tc>
          <w:tcPr>
            <w:tcW w:w="7791" w:type="dxa"/>
            <w:vAlign w:val="center"/>
          </w:tcPr>
          <w:p>
            <w:pPr>
              <w:widowControl/>
              <w:numPr>
                <w:ilvl w:val="0"/>
                <w:numId w:val="3"/>
              </w:numPr>
              <w:kinsoku w:val="0"/>
              <w:autoSpaceDE w:val="0"/>
              <w:autoSpaceDN w:val="0"/>
              <w:snapToGrid w:val="0"/>
              <w:ind w:left="0" w:right="161" w:firstLine="498"/>
              <w:textAlignment w:val="baseline"/>
              <w:rPr>
                <w:rFonts w:ascii="宋体" w:cs="宋体"/>
                <w:szCs w:val="21"/>
              </w:rPr>
            </w:pPr>
            <w:r>
              <w:rPr>
                <w:rFonts w:ascii="宋体" w:cs="宋体" w:hint="eastAsia"/>
                <w:spacing w:val="4"/>
                <w:szCs w:val="21"/>
              </w:rPr>
              <w:t>室内公共区域的地面、墙面、楼梯、扶手、大厅、玻</w:t>
            </w:r>
            <w:r>
              <w:rPr>
                <w:rFonts w:ascii="宋体" w:cs="宋体" w:hint="eastAsia"/>
                <w:spacing w:val="3"/>
                <w:szCs w:val="21"/>
              </w:rPr>
              <w:t xml:space="preserve"> </w:t>
            </w:r>
            <w:r>
              <w:rPr>
                <w:rFonts w:ascii="宋体" w:cs="宋体" w:hint="eastAsia"/>
                <w:spacing w:val="-7"/>
                <w:szCs w:val="21"/>
              </w:rPr>
              <w:t>璃、门及门窗框、天花板、栏杆、走廊等整洁干净，无垃圾、</w:t>
            </w:r>
            <w:r>
              <w:rPr>
                <w:rFonts w:ascii="宋体" w:cs="宋体" w:hint="eastAsia"/>
                <w:spacing w:val="-8"/>
                <w:szCs w:val="21"/>
              </w:rPr>
              <w:t>无积灰、无污渍、无手印。</w:t>
            </w:r>
          </w:p>
        </w:tc>
        <w:tc>
          <w:tcPr>
            <w:tcW w:w="834" w:type="dxa"/>
            <w:vAlign w:val="center"/>
          </w:tcPr>
          <w:p>
            <w:pPr>
              <w:widowControl/>
              <w:kinsoku w:val="0"/>
              <w:autoSpaceDE w:val="0"/>
              <w:autoSpaceDN w:val="0"/>
              <w:snapToGrid w:val="0"/>
              <w:ind w:left="433"/>
              <w:textAlignment w:val="baseline"/>
              <w:rPr>
                <w:rFonts w:ascii="宋体" w:cs="宋体"/>
                <w:szCs w:val="21"/>
              </w:rPr>
            </w:pPr>
            <w:r>
              <w:rPr>
                <w:rFonts w:ascii="宋体" w:cs="宋体" w:hint="eastAsia"/>
                <w:szCs w:val="21"/>
              </w:rPr>
              <w:t>3</w:t>
            </w:r>
          </w:p>
        </w:tc>
        <w:tc>
          <w:tcPr>
            <w:tcW w:w="1107" w:type="dxa"/>
            <w:tcBorders>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val="restart"/>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firstLine="478"/>
              <w:textAlignment w:val="baseline"/>
              <w:rPr>
                <w:rFonts w:ascii="宋体" w:cs="宋体"/>
                <w:spacing w:val="-1"/>
                <w:szCs w:val="21"/>
              </w:rPr>
            </w:pPr>
            <w:r>
              <w:rPr>
                <w:rFonts w:ascii="宋体" w:cs="宋体" w:hint="eastAsia"/>
                <w:spacing w:val="-1"/>
                <w:szCs w:val="21"/>
              </w:rPr>
              <w:t>完全符合得</w:t>
            </w:r>
            <w:r>
              <w:rPr>
                <w:rFonts w:ascii="宋体" w:cs="宋体" w:hint="eastAsia"/>
                <w:szCs w:val="21"/>
              </w:rPr>
              <w:t>满分，部分符合相应</w:t>
            </w:r>
            <w:r>
              <w:rPr>
                <w:rFonts w:ascii="宋体" w:cs="宋体" w:hint="eastAsia"/>
                <w:spacing w:val="-18"/>
                <w:szCs w:val="21"/>
              </w:rPr>
              <w:t>递</w:t>
            </w:r>
            <w:r>
              <w:rPr>
                <w:rFonts w:ascii="宋体" w:cs="宋体" w:hint="eastAsia"/>
                <w:spacing w:val="-12"/>
                <w:szCs w:val="21"/>
              </w:rPr>
              <w:t>减， 不符合得 0 分</w:t>
            </w:r>
          </w:p>
        </w:tc>
      </w:tr>
      <w:tr>
        <w:trPr>
          <w:trHeight w:val="894"/>
          <w:tblHeader/>
        </w:trPr>
        <w:tc>
          <w:tcPr>
            <w:tcW w:w="720" w:type="dxa"/>
            <w:vMerge/>
            <w:vAlign w:val="center"/>
          </w:tcPr>
          <w:p/>
        </w:tc>
        <w:tc>
          <w:tcPr>
            <w:tcW w:w="873" w:type="dxa"/>
            <w:vMerge/>
            <w:vAlign w:val="center"/>
          </w:tcPr>
          <w:p/>
        </w:tc>
        <w:tc>
          <w:tcPr>
            <w:tcW w:w="7791" w:type="dxa"/>
            <w:vAlign w:val="center"/>
          </w:tcPr>
          <w:p>
            <w:pPr>
              <w:widowControl/>
              <w:numPr>
                <w:ilvl w:val="0"/>
                <w:numId w:val="3"/>
              </w:numPr>
              <w:kinsoku w:val="0"/>
              <w:autoSpaceDE w:val="0"/>
              <w:autoSpaceDN w:val="0"/>
              <w:snapToGrid w:val="0"/>
              <w:ind w:left="0" w:right="50" w:firstLine="466"/>
              <w:textAlignment w:val="baseline"/>
              <w:rPr>
                <w:rFonts w:ascii="宋体" w:cs="宋体"/>
                <w:szCs w:val="21"/>
              </w:rPr>
            </w:pPr>
            <w:r>
              <w:rPr>
                <w:rFonts w:ascii="宋体" w:cs="宋体" w:hint="eastAsia"/>
                <w:spacing w:val="-4"/>
                <w:szCs w:val="21"/>
              </w:rPr>
              <w:t>室内卫生间、茶水间清洁，无垃圾、无污渍、无积水、</w:t>
            </w:r>
            <w:r>
              <w:rPr>
                <w:rFonts w:ascii="宋体" w:cs="宋体" w:hint="eastAsia"/>
                <w:spacing w:val="17"/>
                <w:szCs w:val="21"/>
              </w:rPr>
              <w:t xml:space="preserve"> </w:t>
            </w:r>
            <w:r>
              <w:rPr>
                <w:rFonts w:ascii="宋体" w:cs="宋体" w:hint="eastAsia"/>
                <w:spacing w:val="-7"/>
                <w:szCs w:val="21"/>
              </w:rPr>
              <w:t>无异味、无堆积杂物，洁具、台面、镜面光洁无水迹，电器设施</w:t>
            </w:r>
            <w:r>
              <w:rPr>
                <w:rFonts w:ascii="宋体" w:cs="宋体" w:hint="eastAsia"/>
                <w:spacing w:val="-5"/>
                <w:szCs w:val="21"/>
              </w:rPr>
              <w:t>外观清洁，物品摆放有序。室内卫生间符合“美丽厕所”标准。</w:t>
            </w:r>
          </w:p>
        </w:tc>
        <w:tc>
          <w:tcPr>
            <w:tcW w:w="834" w:type="dxa"/>
            <w:vAlign w:val="center"/>
          </w:tcPr>
          <w:p>
            <w:pPr>
              <w:widowControl/>
              <w:kinsoku w:val="0"/>
              <w:autoSpaceDE w:val="0"/>
              <w:autoSpaceDN w:val="0"/>
              <w:snapToGrid w:val="0"/>
              <w:ind w:left="433"/>
              <w:textAlignment w:val="baseline"/>
              <w:rPr>
                <w:rFonts w:ascii="宋体" w:cs="宋体"/>
                <w:szCs w:val="21"/>
              </w:rPr>
            </w:pPr>
            <w:r>
              <w:rPr>
                <w:rFonts w:ascii="宋体" w:cs="宋体" w:hint="eastAsia"/>
                <w:szCs w:val="21"/>
              </w:rPr>
              <w:t>3</w:t>
            </w:r>
          </w:p>
        </w:tc>
        <w:tc>
          <w:tcPr>
            <w:tcW w:w="1107" w:type="dxa"/>
            <w:tcBorders>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top w:val="single" w:sz="4" w:space="0" w:color="auto"/>
              <w:left w:val="single" w:sz="4" w:space="0" w:color="auto"/>
              <w:bottom w:val="single" w:sz="4" w:space="0" w:color="auto"/>
              <w:right w:val="single" w:sz="4" w:space="0" w:color="auto"/>
            </w:tcBorders>
            <w:vAlign w:val="center"/>
          </w:tcPr>
          <w:p/>
        </w:tc>
      </w:tr>
      <w:tr>
        <w:trPr>
          <w:trHeight w:val="696"/>
          <w:tblHeader/>
          <w:gridAfter w:val="1"/>
          <w:wAfter w:w="6" w:type="dxa"/>
        </w:trPr>
        <w:tc>
          <w:tcPr>
            <w:tcW w:w="720" w:type="dxa"/>
            <w:vMerge/>
            <w:vAlign w:val="center"/>
          </w:tcPr>
          <w:p/>
        </w:tc>
        <w:tc>
          <w:tcPr>
            <w:tcW w:w="873" w:type="dxa"/>
            <w:vMerge/>
            <w:vAlign w:val="center"/>
          </w:tcPr>
          <w:p/>
        </w:tc>
        <w:tc>
          <w:tcPr>
            <w:tcW w:w="7791" w:type="dxa"/>
            <w:vAlign w:val="center"/>
          </w:tcPr>
          <w:p>
            <w:pPr>
              <w:widowControl/>
              <w:numPr>
                <w:ilvl w:val="0"/>
                <w:numId w:val="3"/>
              </w:numPr>
              <w:kinsoku w:val="0"/>
              <w:autoSpaceDE w:val="0"/>
              <w:autoSpaceDN w:val="0"/>
              <w:snapToGrid w:val="0"/>
              <w:ind w:left="0" w:firstLine="482"/>
              <w:textAlignment w:val="baseline"/>
              <w:rPr>
                <w:rFonts w:ascii="宋体" w:cs="宋体"/>
                <w:szCs w:val="21"/>
              </w:rPr>
            </w:pPr>
            <w:r>
              <w:rPr>
                <w:rFonts w:ascii="宋体" w:cs="宋体" w:hint="eastAsia"/>
                <w:szCs w:val="21"/>
              </w:rPr>
              <w:t>室外广场、道路、停车场（库）、屋面、“门前三包”等公共区域的地面干净，无杂物、无积水、无淤泥、无污垢。</w:t>
            </w:r>
          </w:p>
        </w:tc>
        <w:tc>
          <w:tcPr>
            <w:tcW w:w="834" w:type="dxa"/>
            <w:vAlign w:val="center"/>
          </w:tcPr>
          <w:p>
            <w:pPr>
              <w:widowControl/>
              <w:kinsoku w:val="0"/>
              <w:autoSpaceDE w:val="0"/>
              <w:autoSpaceDN w:val="0"/>
              <w:snapToGrid w:val="0"/>
              <w:ind w:left="400"/>
              <w:textAlignment w:val="baseline"/>
              <w:rPr>
                <w:rFonts w:ascii="宋体" w:cs="宋体"/>
                <w:szCs w:val="21"/>
              </w:rPr>
            </w:pPr>
            <w:r>
              <w:rPr>
                <w:rFonts w:ascii="宋体" w:cs="宋体" w:hint="eastAsia"/>
                <w:szCs w:val="21"/>
              </w:rPr>
              <w:t>3</w:t>
            </w:r>
          </w:p>
        </w:tc>
        <w:tc>
          <w:tcPr>
            <w:tcW w:w="1107" w:type="dxa"/>
            <w:tcBorders>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3" w:type="dxa"/>
            <w:vMerge w:val="restart"/>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firstLine="478"/>
              <w:textAlignment w:val="baseline"/>
              <w:rPr>
                <w:rFonts w:ascii="宋体" w:cs="宋体"/>
                <w:szCs w:val="21"/>
              </w:rPr>
            </w:pPr>
            <w:r>
              <w:rPr>
                <w:rFonts w:ascii="宋体" w:cs="宋体" w:hint="eastAsia"/>
                <w:spacing w:val="-1"/>
                <w:szCs w:val="21"/>
              </w:rPr>
              <w:t>完全符合得</w:t>
            </w:r>
            <w:r>
              <w:rPr>
                <w:rFonts w:ascii="宋体" w:cs="宋体" w:hint="eastAsia"/>
                <w:szCs w:val="21"/>
              </w:rPr>
              <w:t>满分，部分符合相应</w:t>
            </w:r>
            <w:r>
              <w:rPr>
                <w:rFonts w:ascii="宋体" w:cs="宋体" w:hint="eastAsia"/>
                <w:spacing w:val="-18"/>
                <w:szCs w:val="21"/>
              </w:rPr>
              <w:t>递</w:t>
            </w:r>
            <w:r>
              <w:rPr>
                <w:rFonts w:ascii="宋体" w:cs="宋体" w:hint="eastAsia"/>
                <w:spacing w:val="-12"/>
                <w:szCs w:val="21"/>
              </w:rPr>
              <w:t>减， 不符合得 0 分</w:t>
            </w:r>
          </w:p>
        </w:tc>
      </w:tr>
      <w:tr>
        <w:trPr>
          <w:trHeight w:val="271"/>
          <w:tblHeader/>
          <w:gridAfter w:val="1"/>
          <w:wAfter w:w="6" w:type="dxa"/>
        </w:trPr>
        <w:tc>
          <w:tcPr>
            <w:tcW w:w="720" w:type="dxa"/>
            <w:vMerge/>
            <w:vAlign w:val="center"/>
          </w:tcPr>
          <w:p/>
        </w:tc>
        <w:tc>
          <w:tcPr>
            <w:tcW w:w="873" w:type="dxa"/>
            <w:vMerge/>
            <w:vAlign w:val="center"/>
          </w:tcPr>
          <w:p/>
        </w:tc>
        <w:tc>
          <w:tcPr>
            <w:tcW w:w="7791" w:type="dxa"/>
            <w:vAlign w:val="center"/>
          </w:tcPr>
          <w:p>
            <w:pPr>
              <w:widowControl/>
              <w:numPr>
                <w:ilvl w:val="0"/>
                <w:numId w:val="3"/>
              </w:numPr>
              <w:kinsoku w:val="0"/>
              <w:autoSpaceDE w:val="0"/>
              <w:autoSpaceDN w:val="0"/>
              <w:snapToGrid w:val="0"/>
              <w:ind w:left="0" w:firstLine="482"/>
              <w:textAlignment w:val="baseline"/>
              <w:rPr>
                <w:rFonts w:ascii="宋体" w:cs="宋体"/>
                <w:szCs w:val="21"/>
              </w:rPr>
            </w:pPr>
            <w:r>
              <w:rPr>
                <w:rFonts w:ascii="宋体" w:cs="宋体" w:hint="eastAsia"/>
                <w:szCs w:val="21"/>
              </w:rPr>
              <w:t>外墙应保持清洁，无明显污迹。</w:t>
            </w:r>
          </w:p>
        </w:tc>
        <w:tc>
          <w:tcPr>
            <w:tcW w:w="834" w:type="dxa"/>
            <w:vAlign w:val="center"/>
          </w:tcPr>
          <w:p>
            <w:pPr>
              <w:widowControl/>
              <w:kinsoku w:val="0"/>
              <w:autoSpaceDE w:val="0"/>
              <w:autoSpaceDN w:val="0"/>
              <w:snapToGrid w:val="0"/>
              <w:ind w:left="400"/>
              <w:textAlignment w:val="baseline"/>
              <w:rPr>
                <w:rFonts w:ascii="宋体" w:cs="宋体"/>
                <w:szCs w:val="21"/>
              </w:rPr>
            </w:pPr>
            <w:r>
              <w:rPr>
                <w:rFonts w:ascii="宋体" w:cs="宋体" w:hint="eastAsia"/>
                <w:szCs w:val="21"/>
              </w:rPr>
              <w:t>3</w:t>
            </w:r>
          </w:p>
        </w:tc>
        <w:tc>
          <w:tcPr>
            <w:tcW w:w="1107" w:type="dxa"/>
            <w:tcBorders>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3" w:type="dxa"/>
            <w:vMerge/>
            <w:tcBorders>
              <w:top w:val="single" w:sz="4" w:space="0" w:color="auto"/>
              <w:left w:val="single" w:sz="4" w:space="0" w:color="auto"/>
              <w:bottom w:val="single" w:sz="4" w:space="0" w:color="auto"/>
              <w:right w:val="single" w:sz="4" w:space="0" w:color="auto"/>
            </w:tcBorders>
            <w:vAlign w:val="center"/>
          </w:tcPr>
          <w:p/>
        </w:tc>
      </w:tr>
      <w:tr>
        <w:trPr>
          <w:trHeight w:val="210"/>
          <w:tblHeader/>
          <w:gridAfter w:val="1"/>
          <w:wAfter w:w="6" w:type="dxa"/>
        </w:trPr>
        <w:tc>
          <w:tcPr>
            <w:tcW w:w="720" w:type="dxa"/>
            <w:vMerge/>
            <w:vAlign w:val="center"/>
          </w:tcPr>
          <w:p/>
        </w:tc>
        <w:tc>
          <w:tcPr>
            <w:tcW w:w="873" w:type="dxa"/>
            <w:vMerge/>
            <w:vAlign w:val="center"/>
          </w:tcPr>
          <w:p/>
        </w:tc>
        <w:tc>
          <w:tcPr>
            <w:tcW w:w="7791" w:type="dxa"/>
            <w:vAlign w:val="center"/>
          </w:tcPr>
          <w:p>
            <w:pPr>
              <w:widowControl/>
              <w:numPr>
                <w:ilvl w:val="0"/>
                <w:numId w:val="3"/>
              </w:numPr>
              <w:kinsoku w:val="0"/>
              <w:autoSpaceDE w:val="0"/>
              <w:autoSpaceDN w:val="0"/>
              <w:snapToGrid w:val="0"/>
              <w:ind w:left="0" w:firstLine="482"/>
              <w:textAlignment w:val="baseline"/>
              <w:rPr>
                <w:rFonts w:ascii="宋体" w:cs="宋体"/>
                <w:szCs w:val="21"/>
              </w:rPr>
            </w:pPr>
            <w:r>
              <w:rPr>
                <w:rFonts w:ascii="宋体" w:cs="宋体" w:hint="eastAsia"/>
                <w:szCs w:val="21"/>
              </w:rPr>
              <w:t>定期对景观和照明灯等设施设备进行清洁，确保表面干净无污渍。</w:t>
            </w:r>
          </w:p>
        </w:tc>
        <w:tc>
          <w:tcPr>
            <w:tcW w:w="834" w:type="dxa"/>
            <w:vAlign w:val="center"/>
          </w:tcPr>
          <w:p>
            <w:pPr>
              <w:widowControl/>
              <w:kinsoku w:val="0"/>
              <w:autoSpaceDE w:val="0"/>
              <w:autoSpaceDN w:val="0"/>
              <w:snapToGrid w:val="0"/>
              <w:ind w:left="400"/>
              <w:textAlignment w:val="baseline"/>
              <w:rPr>
                <w:rFonts w:ascii="宋体" w:cs="宋体"/>
                <w:szCs w:val="21"/>
              </w:rPr>
            </w:pPr>
            <w:r>
              <w:rPr>
                <w:rFonts w:ascii="宋体" w:cs="宋体" w:hint="eastAsia"/>
                <w:szCs w:val="21"/>
              </w:rPr>
              <w:t>3</w:t>
            </w:r>
          </w:p>
        </w:tc>
        <w:tc>
          <w:tcPr>
            <w:tcW w:w="1107" w:type="dxa"/>
            <w:tcBorders>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3" w:type="dxa"/>
            <w:vMerge/>
            <w:tcBorders>
              <w:top w:val="single" w:sz="4" w:space="0" w:color="auto"/>
              <w:left w:val="single" w:sz="4" w:space="0" w:color="auto"/>
              <w:bottom w:val="single" w:sz="4" w:space="0" w:color="auto"/>
              <w:right w:val="single" w:sz="4" w:space="0" w:color="auto"/>
            </w:tcBorders>
            <w:vAlign w:val="center"/>
          </w:tcPr>
          <w:p/>
        </w:tc>
      </w:tr>
      <w:tr>
        <w:trPr>
          <w:trHeight w:val="468"/>
          <w:tblHeader/>
          <w:gridAfter w:val="1"/>
          <w:wAfter w:w="6" w:type="dxa"/>
        </w:trPr>
        <w:tc>
          <w:tcPr>
            <w:tcW w:w="720" w:type="dxa"/>
            <w:vMerge/>
            <w:vAlign w:val="center"/>
          </w:tcPr>
          <w:p/>
        </w:tc>
        <w:tc>
          <w:tcPr>
            <w:tcW w:w="873" w:type="dxa"/>
            <w:vMerge/>
            <w:vAlign w:val="center"/>
          </w:tcPr>
          <w:p/>
        </w:tc>
        <w:tc>
          <w:tcPr>
            <w:tcW w:w="7791" w:type="dxa"/>
            <w:vAlign w:val="center"/>
          </w:tcPr>
          <w:p>
            <w:pPr>
              <w:widowControl/>
              <w:numPr>
                <w:ilvl w:val="0"/>
                <w:numId w:val="3"/>
              </w:numPr>
              <w:kinsoku w:val="0"/>
              <w:autoSpaceDE w:val="0"/>
              <w:autoSpaceDN w:val="0"/>
              <w:snapToGrid w:val="0"/>
              <w:ind w:left="0" w:firstLine="482"/>
              <w:textAlignment w:val="baseline"/>
              <w:rPr>
                <w:rFonts w:ascii="宋体" w:cs="宋体"/>
                <w:szCs w:val="21"/>
              </w:rPr>
            </w:pPr>
            <w:r>
              <w:rPr>
                <w:rFonts w:ascii="宋体" w:cs="宋体" w:hint="eastAsia"/>
                <w:szCs w:val="21"/>
              </w:rPr>
              <w:t>垃圾、废弃物按分类要求及时收集、日产日清，化粪 池及时清掏，垃圾箱（房）外侧表面清洁、内侧无残留物、无异味。</w:t>
            </w:r>
          </w:p>
        </w:tc>
        <w:tc>
          <w:tcPr>
            <w:tcW w:w="834" w:type="dxa"/>
            <w:vAlign w:val="center"/>
          </w:tcPr>
          <w:p>
            <w:pPr>
              <w:widowControl/>
              <w:kinsoku w:val="0"/>
              <w:autoSpaceDE w:val="0"/>
              <w:autoSpaceDN w:val="0"/>
              <w:snapToGrid w:val="0"/>
              <w:ind w:left="400"/>
              <w:textAlignment w:val="baseline"/>
              <w:rPr>
                <w:rFonts w:ascii="宋体" w:cs="宋体"/>
                <w:szCs w:val="21"/>
              </w:rPr>
            </w:pPr>
            <w:r>
              <w:rPr>
                <w:rFonts w:ascii="宋体" w:cs="宋体" w:hint="eastAsia"/>
                <w:szCs w:val="21"/>
              </w:rPr>
              <w:t>3</w:t>
            </w:r>
          </w:p>
        </w:tc>
        <w:tc>
          <w:tcPr>
            <w:tcW w:w="1107" w:type="dxa"/>
            <w:tcBorders>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3" w:type="dxa"/>
            <w:vMerge/>
            <w:tcBorders>
              <w:top w:val="single" w:sz="4" w:space="0" w:color="auto"/>
              <w:left w:val="single" w:sz="4" w:space="0" w:color="auto"/>
              <w:bottom w:val="single" w:sz="4" w:space="0" w:color="auto"/>
              <w:right w:val="single" w:sz="4" w:space="0" w:color="auto"/>
            </w:tcBorders>
            <w:vAlign w:val="center"/>
          </w:tcPr>
          <w:p/>
        </w:tc>
      </w:tr>
      <w:tr>
        <w:trPr>
          <w:trHeight w:val="90"/>
          <w:tblHeader/>
          <w:gridAfter w:val="1"/>
          <w:wAfter w:w="6" w:type="dxa"/>
        </w:trPr>
        <w:tc>
          <w:tcPr>
            <w:tcW w:w="720" w:type="dxa"/>
            <w:vMerge/>
            <w:vAlign w:val="center"/>
          </w:tcPr>
          <w:p/>
        </w:tc>
        <w:tc>
          <w:tcPr>
            <w:tcW w:w="873" w:type="dxa"/>
            <w:vMerge/>
            <w:vAlign w:val="center"/>
          </w:tcPr>
          <w:p/>
        </w:tc>
        <w:tc>
          <w:tcPr>
            <w:tcW w:w="7791" w:type="dxa"/>
            <w:vAlign w:val="center"/>
          </w:tcPr>
          <w:p>
            <w:pPr>
              <w:widowControl/>
              <w:numPr>
                <w:ilvl w:val="0"/>
                <w:numId w:val="3"/>
              </w:numPr>
              <w:kinsoku w:val="0"/>
              <w:autoSpaceDE w:val="0"/>
              <w:autoSpaceDN w:val="0"/>
              <w:snapToGrid w:val="0"/>
              <w:ind w:left="0" w:firstLine="482"/>
              <w:textAlignment w:val="baseline"/>
              <w:rPr>
                <w:rFonts w:ascii="宋体" w:cs="宋体"/>
                <w:szCs w:val="21"/>
              </w:rPr>
            </w:pPr>
            <w:r>
              <w:rPr>
                <w:rFonts w:ascii="宋体" w:cs="宋体" w:hint="eastAsia"/>
                <w:szCs w:val="21"/>
              </w:rPr>
              <w:t>垃圾应按照可回收物、有害垃圾、易腐垃圾和其他垃圾进行分类，对应垃圾桶颜色准确。</w:t>
            </w:r>
          </w:p>
        </w:tc>
        <w:tc>
          <w:tcPr>
            <w:tcW w:w="834" w:type="dxa"/>
            <w:vAlign w:val="center"/>
          </w:tcPr>
          <w:p>
            <w:pPr>
              <w:widowControl/>
              <w:kinsoku w:val="0"/>
              <w:autoSpaceDE w:val="0"/>
              <w:autoSpaceDN w:val="0"/>
              <w:snapToGrid w:val="0"/>
              <w:ind w:left="400"/>
              <w:textAlignment w:val="baseline"/>
              <w:rPr>
                <w:rFonts w:ascii="宋体" w:cs="宋体"/>
                <w:szCs w:val="21"/>
              </w:rPr>
            </w:pPr>
            <w:r>
              <w:rPr>
                <w:rFonts w:ascii="宋体" w:cs="宋体" w:hint="eastAsia"/>
                <w:szCs w:val="21"/>
              </w:rPr>
              <w:t>3</w:t>
            </w:r>
          </w:p>
        </w:tc>
        <w:tc>
          <w:tcPr>
            <w:tcW w:w="1107" w:type="dxa"/>
            <w:tcBorders>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3" w:type="dxa"/>
            <w:vMerge/>
            <w:tcBorders>
              <w:top w:val="single" w:sz="4" w:space="0" w:color="auto"/>
              <w:left w:val="single" w:sz="4" w:space="0" w:color="auto"/>
              <w:bottom w:val="single" w:sz="4" w:space="0" w:color="auto"/>
              <w:right w:val="single" w:sz="4" w:space="0" w:color="auto"/>
            </w:tcBorders>
            <w:vAlign w:val="center"/>
          </w:tcPr>
          <w:p/>
        </w:tc>
      </w:tr>
      <w:tr>
        <w:trPr>
          <w:trHeight w:val="2703"/>
          <w:tblHeader/>
        </w:trPr>
        <w:tc>
          <w:tcPr>
            <w:tcW w:w="720" w:type="dxa"/>
            <w:vMerge w:val="restart"/>
            <w:vAlign w:val="center"/>
          </w:tcPr>
          <w:p>
            <w:pPr>
              <w:widowControl/>
              <w:kinsoku w:val="0"/>
              <w:autoSpaceDE w:val="0"/>
              <w:autoSpaceDN w:val="0"/>
              <w:snapToGrid w:val="0"/>
              <w:jc w:val="center"/>
              <w:textAlignment w:val="baseline"/>
              <w:rPr>
                <w:rFonts w:ascii="宋体" w:cs="宋体"/>
                <w:szCs w:val="21"/>
              </w:rPr>
            </w:pPr>
            <w:r>
              <w:rPr>
                <w:rFonts w:ascii="宋体" w:cs="宋体" w:hint="eastAsia"/>
                <w:szCs w:val="21"/>
              </w:rPr>
              <w:t>4</w:t>
            </w:r>
          </w:p>
        </w:tc>
        <w:tc>
          <w:tcPr>
            <w:tcW w:w="873" w:type="dxa"/>
            <w:vMerge w:val="restart"/>
            <w:vAlign w:val="center"/>
          </w:tcPr>
          <w:p>
            <w:pPr>
              <w:widowControl/>
              <w:kinsoku w:val="0"/>
              <w:autoSpaceDE w:val="0"/>
              <w:autoSpaceDN w:val="0"/>
              <w:snapToGrid w:val="0"/>
              <w:jc w:val="center"/>
              <w:textAlignment w:val="baseline"/>
              <w:rPr>
                <w:rFonts w:ascii="宋体" w:cs="宋体"/>
                <w:b/>
                <w:bCs/>
                <w:szCs w:val="21"/>
              </w:rPr>
            </w:pPr>
            <w:r>
              <w:rPr>
                <w:rFonts w:ascii="宋体" w:cs="宋体" w:hint="eastAsia"/>
                <w:b/>
                <w:bCs/>
                <w:szCs w:val="21"/>
              </w:rPr>
              <w:t>安保</w:t>
            </w:r>
          </w:p>
          <w:p>
            <w:pPr>
              <w:widowControl/>
              <w:kinsoku w:val="0"/>
              <w:autoSpaceDE w:val="0"/>
              <w:autoSpaceDN w:val="0"/>
              <w:snapToGrid w:val="0"/>
              <w:jc w:val="center"/>
              <w:textAlignment w:val="baseline"/>
              <w:rPr>
                <w:rFonts w:ascii="宋体" w:cs="宋体"/>
                <w:b/>
                <w:bCs/>
                <w:szCs w:val="21"/>
              </w:rPr>
            </w:pPr>
            <w:r>
              <w:rPr>
                <w:rFonts w:ascii="宋体" w:cs="宋体" w:hint="eastAsia"/>
                <w:b/>
                <w:bCs/>
                <w:szCs w:val="21"/>
              </w:rPr>
              <w:t>消控</w:t>
            </w:r>
          </w:p>
          <w:p>
            <w:pPr>
              <w:widowControl/>
              <w:kinsoku w:val="0"/>
              <w:autoSpaceDE w:val="0"/>
              <w:autoSpaceDN w:val="0"/>
              <w:snapToGrid w:val="0"/>
              <w:jc w:val="center"/>
              <w:textAlignment w:val="baseline"/>
              <w:rPr>
                <w:rFonts w:ascii="宋体" w:cs="宋体"/>
                <w:b/>
                <w:bCs/>
                <w:szCs w:val="21"/>
              </w:rPr>
            </w:pPr>
            <w:r>
              <w:rPr>
                <w:rFonts w:ascii="宋体" w:cs="宋体" w:hint="eastAsia"/>
                <w:b/>
                <w:bCs/>
                <w:szCs w:val="21"/>
              </w:rPr>
              <w:t>管理</w:t>
            </w:r>
          </w:p>
        </w:tc>
        <w:tc>
          <w:tcPr>
            <w:tcW w:w="7791" w:type="dxa"/>
            <w:vAlign w:val="center"/>
          </w:tcPr>
          <w:p>
            <w:pPr>
              <w:widowControl/>
              <w:kinsoku w:val="0"/>
              <w:autoSpaceDE w:val="0"/>
              <w:autoSpaceDN w:val="0"/>
              <w:snapToGrid w:val="0"/>
              <w:textAlignment w:val="baseline"/>
              <w:rPr>
                <w:rFonts w:ascii="宋体" w:cs="宋体"/>
                <w:b/>
                <w:bCs/>
                <w:szCs w:val="21"/>
              </w:rPr>
            </w:pPr>
            <w:r>
              <w:rPr>
                <w:rFonts w:ascii="宋体" w:cs="宋体" w:hint="eastAsia"/>
                <w:b/>
                <w:bCs/>
                <w:szCs w:val="21"/>
              </w:rPr>
              <w:t>安保服务：</w:t>
            </w:r>
          </w:p>
          <w:p>
            <w:pPr>
              <w:numPr>
                <w:ilvl w:val="0"/>
                <w:numId w:val="4"/>
              </w:numPr>
              <w:snapToGrid w:val="0"/>
              <w:ind w:left="0" w:firstLine="482"/>
              <w:rPr>
                <w:rFonts w:ascii="宋体" w:cs="宋体"/>
                <w:szCs w:val="21"/>
              </w:rPr>
            </w:pPr>
            <w:r>
              <w:rPr>
                <w:rFonts w:ascii="宋体" w:cs="宋体" w:hint="eastAsia"/>
                <w:szCs w:val="21"/>
              </w:rPr>
              <w:t>值勤期间应按有关规定着制式保安服装，携带必要的安全防卫器械和应急处置装备，并熟悉使用方法。</w:t>
            </w:r>
          </w:p>
          <w:p>
            <w:pPr>
              <w:numPr>
                <w:ilvl w:val="0"/>
                <w:numId w:val="4"/>
              </w:numPr>
              <w:snapToGrid w:val="0"/>
              <w:ind w:left="0" w:firstLine="482"/>
              <w:rPr>
                <w:rFonts w:ascii="宋体" w:cs="宋体"/>
                <w:szCs w:val="21"/>
              </w:rPr>
            </w:pPr>
            <w:r>
              <w:rPr>
                <w:rFonts w:ascii="宋体" w:cs="宋体" w:hint="eastAsia"/>
                <w:szCs w:val="21"/>
              </w:rPr>
              <w:t>应具备必要的防范知识和基本操作技能，熟练使用出入管理系统做好来访人员登记并查验。</w:t>
            </w:r>
          </w:p>
          <w:p>
            <w:pPr>
              <w:numPr>
                <w:ilvl w:val="0"/>
                <w:numId w:val="4"/>
              </w:numPr>
              <w:snapToGrid w:val="0"/>
              <w:ind w:left="0" w:firstLine="482"/>
              <w:rPr>
                <w:rFonts w:ascii="宋体" w:cs="宋体"/>
                <w:szCs w:val="21"/>
              </w:rPr>
            </w:pPr>
            <w:r>
              <w:rPr>
                <w:rFonts w:ascii="宋体" w:cs="宋体" w:hint="eastAsia"/>
                <w:szCs w:val="21"/>
              </w:rPr>
              <w:t>应按照问询、查验、核实、登记、放行要求，严格落实外来人员、车辆、物品的出入管理制度，严防可疑人员、车辆以及管制刀具、危险物品等带入单位。</w:t>
            </w:r>
          </w:p>
          <w:p>
            <w:pPr>
              <w:numPr>
                <w:ilvl w:val="0"/>
                <w:numId w:val="4"/>
              </w:numPr>
              <w:snapToGrid w:val="0"/>
              <w:ind w:left="0" w:firstLine="482"/>
              <w:rPr>
                <w:rFonts w:ascii="宋体" w:cs="宋体"/>
                <w:szCs w:val="21"/>
              </w:rPr>
            </w:pPr>
            <w:r>
              <w:rPr>
                <w:rFonts w:ascii="宋体" w:cs="宋体" w:hint="eastAsia"/>
                <w:szCs w:val="21"/>
              </w:rPr>
              <w:t>在岗期间不与无关人员聊天，不干私活，不饮酒，不吸烟。不得在门卫室从事与工作无关的活动，不得存放或代人存放贵重物品、现金和危险品。</w:t>
            </w:r>
          </w:p>
          <w:p>
            <w:pPr>
              <w:numPr>
                <w:ilvl w:val="0"/>
                <w:numId w:val="4"/>
              </w:numPr>
              <w:snapToGrid w:val="0"/>
              <w:ind w:left="0" w:firstLine="482"/>
              <w:rPr>
                <w:rFonts w:ascii="宋体" w:cs="宋体"/>
                <w:szCs w:val="21"/>
              </w:rPr>
            </w:pPr>
            <w:r>
              <w:rPr>
                <w:rFonts w:ascii="宋体" w:cs="宋体" w:hint="eastAsia"/>
                <w:szCs w:val="21"/>
              </w:rPr>
              <w:t>执行24小时值班制度，不得擅自离岗、脱岗，按时交接班并做好交接记录，发现问题及时报告。除上下班时间外，应严格落实办公区封闭管理。</w:t>
            </w:r>
          </w:p>
          <w:p>
            <w:pPr>
              <w:numPr>
                <w:ilvl w:val="0"/>
                <w:numId w:val="4"/>
              </w:numPr>
              <w:snapToGrid w:val="0"/>
              <w:ind w:left="0" w:firstLine="482"/>
              <w:rPr>
                <w:rFonts w:ascii="宋体" w:cs="宋体"/>
                <w:szCs w:val="21"/>
              </w:rPr>
            </w:pPr>
            <w:r>
              <w:rPr>
                <w:rFonts w:ascii="宋体" w:cs="宋体" w:hint="eastAsia"/>
                <w:szCs w:val="21"/>
              </w:rPr>
              <w:t>上下班重点时段，保安员应在大门口上岗执勤，做好安全管理工作。</w:t>
            </w:r>
          </w:p>
          <w:p>
            <w:pPr>
              <w:numPr>
                <w:ilvl w:val="0"/>
                <w:numId w:val="4"/>
              </w:numPr>
              <w:snapToGrid w:val="0"/>
              <w:ind w:left="0" w:firstLine="482"/>
              <w:rPr>
                <w:rFonts w:ascii="宋体" w:cs="宋体"/>
                <w:szCs w:val="21"/>
              </w:rPr>
            </w:pPr>
            <w:r>
              <w:rPr>
                <w:rFonts w:ascii="宋体" w:cs="宋体" w:hint="eastAsia"/>
                <w:szCs w:val="21"/>
              </w:rPr>
              <w:t>每日对单位重点部位及周边进行巡查，一旦发现异常情况，应当及时报告并开展先期处置。</w:t>
            </w:r>
          </w:p>
          <w:p>
            <w:pPr>
              <w:numPr>
                <w:ilvl w:val="0"/>
                <w:numId w:val="4"/>
              </w:numPr>
              <w:snapToGrid w:val="0"/>
              <w:ind w:left="0" w:firstLine="482"/>
              <w:rPr>
                <w:rFonts w:ascii="宋体" w:cs="宋体"/>
                <w:szCs w:val="21"/>
              </w:rPr>
            </w:pPr>
            <w:r>
              <w:rPr>
                <w:rFonts w:ascii="宋体" w:cs="宋体" w:hint="eastAsia"/>
                <w:szCs w:val="21"/>
              </w:rPr>
              <w:t>制止各种不安全或易造成伤害的行为，发生违反规定或不服从管理者，应严肃、礼貌劝阻并妥善处置，不听劝阻的及时上报。遇有火警或其它紧急情况，应迅速扑救或采取有效措施保护现场，并及时上报。</w:t>
            </w:r>
          </w:p>
          <w:p>
            <w:pPr>
              <w:numPr>
                <w:ilvl w:val="0"/>
                <w:numId w:val="4"/>
              </w:numPr>
              <w:snapToGrid w:val="0"/>
              <w:ind w:left="0" w:firstLine="482"/>
              <w:rPr>
                <w:rFonts w:ascii="宋体" w:cs="宋体"/>
                <w:szCs w:val="21"/>
              </w:rPr>
            </w:pPr>
            <w:r>
              <w:rPr>
                <w:rFonts w:ascii="宋体" w:cs="宋体" w:hint="eastAsia"/>
                <w:szCs w:val="21"/>
              </w:rPr>
              <w:t>配合单位做好防火、防盗、防破坏、防地质灾害事故工作。对发现可疑人、事、物或其他治安信息，应及时向相关领导或部门汇报，必要时启动报警器或向110报警，并配合公安机关做好处置工作。</w:t>
            </w:r>
          </w:p>
          <w:p>
            <w:pPr>
              <w:widowControl/>
              <w:kinsoku w:val="0"/>
              <w:autoSpaceDE w:val="0"/>
              <w:autoSpaceDN w:val="0"/>
              <w:snapToGrid w:val="0"/>
              <w:ind w:left="400"/>
              <w:textAlignment w:val="baseline"/>
              <w:rPr>
                <w:rFonts w:ascii="宋体" w:cs="宋体"/>
                <w:szCs w:val="21"/>
              </w:rPr>
            </w:pP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10</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Align w:val="center"/>
          </w:tcPr>
          <w:p>
            <w:pPr>
              <w:widowControl/>
              <w:kinsoku w:val="0"/>
              <w:autoSpaceDE w:val="0"/>
              <w:autoSpaceDN w:val="0"/>
              <w:snapToGrid w:val="0"/>
              <w:ind w:firstLine="478"/>
              <w:textAlignment w:val="baseline"/>
              <w:rPr>
                <w:rFonts w:ascii="宋体" w:cs="宋体"/>
                <w:szCs w:val="21"/>
              </w:rPr>
            </w:pPr>
            <w:r>
              <w:rPr>
                <w:rFonts w:ascii="宋体" w:cs="宋体" w:hint="eastAsia"/>
                <w:spacing w:val="-1"/>
                <w:szCs w:val="21"/>
              </w:rPr>
              <w:t>完全符合得</w:t>
            </w:r>
            <w:r>
              <w:rPr>
                <w:rFonts w:ascii="宋体" w:cs="宋体" w:hint="eastAsia"/>
                <w:szCs w:val="21"/>
              </w:rPr>
              <w:t>满分，部分符合相应</w:t>
            </w:r>
            <w:r>
              <w:rPr>
                <w:rFonts w:ascii="宋体" w:cs="宋体" w:hint="eastAsia"/>
                <w:spacing w:val="-18"/>
                <w:szCs w:val="21"/>
              </w:rPr>
              <w:t>递</w:t>
            </w:r>
            <w:r>
              <w:rPr>
                <w:rFonts w:ascii="宋体" w:cs="宋体" w:hint="eastAsia"/>
                <w:spacing w:val="-12"/>
                <w:szCs w:val="21"/>
              </w:rPr>
              <w:t>减， 不符合得 0 分；</w:t>
            </w:r>
          </w:p>
        </w:tc>
      </w:tr>
      <w:tr>
        <w:trPr>
          <w:trHeight w:val="695"/>
          <w:tblHeader/>
        </w:trPr>
        <w:tc>
          <w:tcPr>
            <w:tcW w:w="720" w:type="dxa"/>
            <w:vMerge/>
            <w:vAlign w:val="center"/>
          </w:tcPr>
          <w:p/>
        </w:tc>
        <w:tc>
          <w:tcPr>
            <w:tcW w:w="873" w:type="dxa"/>
            <w:vMerge/>
            <w:vAlign w:val="center"/>
          </w:tcPr>
          <w:p/>
        </w:tc>
        <w:tc>
          <w:tcPr>
            <w:tcW w:w="7791" w:type="dxa"/>
            <w:vAlign w:val="center"/>
          </w:tcPr>
          <w:p>
            <w:pPr>
              <w:widowControl/>
              <w:kinsoku w:val="0"/>
              <w:autoSpaceDE w:val="0"/>
              <w:autoSpaceDN w:val="0"/>
              <w:snapToGrid w:val="0"/>
              <w:textAlignment w:val="baseline"/>
              <w:rPr>
                <w:rFonts w:ascii="宋体" w:cs="宋体"/>
                <w:b/>
                <w:bCs/>
                <w:szCs w:val="21"/>
              </w:rPr>
            </w:pPr>
            <w:r>
              <w:rPr>
                <w:rFonts w:ascii="宋体" w:cs="宋体" w:hint="eastAsia"/>
                <w:b/>
                <w:bCs/>
                <w:szCs w:val="21"/>
              </w:rPr>
              <w:t>消控室管理：</w:t>
            </w:r>
          </w:p>
          <w:p>
            <w:pPr>
              <w:widowControl/>
              <w:numPr>
                <w:ilvl w:val="0"/>
                <w:numId w:val="5"/>
              </w:numPr>
              <w:kinsoku w:val="0"/>
              <w:autoSpaceDE w:val="0"/>
              <w:autoSpaceDN w:val="0"/>
              <w:snapToGrid w:val="0"/>
              <w:ind w:left="0" w:firstLine="482"/>
              <w:jc w:val="left"/>
              <w:textAlignment w:val="baseline"/>
              <w:rPr>
                <w:rFonts w:ascii="宋体" w:cs="宋体"/>
                <w:szCs w:val="21"/>
              </w:rPr>
            </w:pPr>
            <w:r>
              <w:rPr>
                <w:rFonts w:ascii="宋体" w:cs="宋体" w:hint="eastAsia"/>
                <w:szCs w:val="21"/>
              </w:rPr>
              <w:t>配备完善的消防设施和器材，定期对消防设施进行巡查，确保运行正常。消防设施的维护管理及消防控制室应符合相关国标要求。</w:t>
            </w:r>
          </w:p>
          <w:p>
            <w:pPr>
              <w:widowControl/>
              <w:numPr>
                <w:ilvl w:val="0"/>
                <w:numId w:val="5"/>
              </w:numPr>
              <w:kinsoku w:val="0"/>
              <w:autoSpaceDE w:val="0"/>
              <w:autoSpaceDN w:val="0"/>
              <w:snapToGrid w:val="0"/>
              <w:ind w:left="0" w:firstLine="482"/>
              <w:jc w:val="left"/>
              <w:textAlignment w:val="baseline"/>
              <w:rPr>
                <w:rFonts w:ascii="宋体" w:cs="宋体"/>
                <w:szCs w:val="21"/>
              </w:rPr>
            </w:pPr>
            <w:r>
              <w:rPr>
                <w:rFonts w:ascii="宋体" w:cs="宋体" w:hint="eastAsia"/>
                <w:szCs w:val="21"/>
              </w:rPr>
              <w:t>应在各楼层明显位置张贴平面疏散示意图、引路标志及控烟标志。</w:t>
            </w:r>
          </w:p>
          <w:p>
            <w:pPr>
              <w:widowControl/>
              <w:numPr>
                <w:ilvl w:val="0"/>
                <w:numId w:val="5"/>
              </w:numPr>
              <w:kinsoku w:val="0"/>
              <w:autoSpaceDE w:val="0"/>
              <w:autoSpaceDN w:val="0"/>
              <w:snapToGrid w:val="0"/>
              <w:ind w:left="0" w:firstLine="482"/>
              <w:jc w:val="left"/>
              <w:textAlignment w:val="baseline"/>
              <w:rPr>
                <w:rFonts w:ascii="宋体" w:cs="宋体"/>
                <w:szCs w:val="21"/>
              </w:rPr>
            </w:pPr>
            <w:r>
              <w:rPr>
                <w:rFonts w:ascii="宋体" w:cs="宋体" w:hint="eastAsia"/>
                <w:szCs w:val="21"/>
              </w:rPr>
              <w:t>定期开展防火检查，保证疏散通道、安全出口、消防车道通畅。</w:t>
            </w:r>
          </w:p>
          <w:p>
            <w:pPr>
              <w:widowControl/>
              <w:numPr>
                <w:ilvl w:val="0"/>
                <w:numId w:val="5"/>
              </w:numPr>
              <w:kinsoku w:val="0"/>
              <w:autoSpaceDE w:val="0"/>
              <w:autoSpaceDN w:val="0"/>
              <w:snapToGrid w:val="0"/>
              <w:ind w:left="0" w:firstLine="482"/>
              <w:jc w:val="left"/>
              <w:textAlignment w:val="baseline"/>
              <w:rPr>
                <w:rFonts w:ascii="宋体" w:cs="宋体"/>
                <w:szCs w:val="21"/>
              </w:rPr>
            </w:pPr>
            <w:r>
              <w:rPr>
                <w:rFonts w:ascii="宋体" w:cs="宋体" w:hint="eastAsia"/>
                <w:szCs w:val="21"/>
              </w:rPr>
              <w:t>消控岗需24小时有人值班，消控人员按国家有关法律法规要求持消防设施操作员证或建（构）筑物消防员证上岗。</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8</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Align w:val="center"/>
          </w:tcPr>
          <w:p>
            <w:pPr>
              <w:widowControl/>
              <w:kinsoku w:val="0"/>
              <w:autoSpaceDE w:val="0"/>
              <w:autoSpaceDN w:val="0"/>
              <w:snapToGrid w:val="0"/>
              <w:ind w:firstLine="478"/>
              <w:textAlignment w:val="baseline"/>
              <w:rPr>
                <w:rFonts w:ascii="宋体" w:cs="宋体"/>
                <w:szCs w:val="21"/>
              </w:rPr>
            </w:pPr>
            <w:r>
              <w:rPr>
                <w:rFonts w:ascii="宋体" w:cs="宋体" w:hint="eastAsia"/>
                <w:spacing w:val="-1"/>
                <w:szCs w:val="21"/>
              </w:rPr>
              <w:t>完全符合得</w:t>
            </w:r>
            <w:r>
              <w:rPr>
                <w:rFonts w:ascii="宋体" w:cs="宋体" w:hint="eastAsia"/>
                <w:szCs w:val="21"/>
              </w:rPr>
              <w:t>满分，部分符合相应</w:t>
            </w:r>
            <w:r>
              <w:rPr>
                <w:rFonts w:ascii="宋体" w:cs="宋体" w:hint="eastAsia"/>
                <w:spacing w:val="-18"/>
                <w:szCs w:val="21"/>
              </w:rPr>
              <w:t>递</w:t>
            </w:r>
            <w:r>
              <w:rPr>
                <w:rFonts w:ascii="宋体" w:cs="宋体" w:hint="eastAsia"/>
                <w:spacing w:val="-12"/>
                <w:szCs w:val="21"/>
              </w:rPr>
              <w:t>减，不符合得 0 分；</w:t>
            </w:r>
          </w:p>
        </w:tc>
      </w:tr>
      <w:tr>
        <w:trPr>
          <w:trHeight w:val="1971"/>
          <w:tblHeader/>
        </w:trPr>
        <w:tc>
          <w:tcPr>
            <w:tcW w:w="720" w:type="dxa"/>
            <w:vMerge/>
            <w:vAlign w:val="center"/>
          </w:tcPr>
          <w:p/>
        </w:tc>
        <w:tc>
          <w:tcPr>
            <w:tcW w:w="873" w:type="dxa"/>
            <w:vMerge/>
            <w:vAlign w:val="center"/>
          </w:tcPr>
          <w:p/>
        </w:tc>
        <w:tc>
          <w:tcPr>
            <w:tcW w:w="7791" w:type="dxa"/>
            <w:vAlign w:val="center"/>
          </w:tcPr>
          <w:p>
            <w:pPr>
              <w:widowControl/>
              <w:kinsoku w:val="0"/>
              <w:autoSpaceDE w:val="0"/>
              <w:autoSpaceDN w:val="0"/>
              <w:snapToGrid w:val="0"/>
              <w:textAlignment w:val="baseline"/>
              <w:rPr>
                <w:rFonts w:ascii="宋体" w:cs="宋体"/>
                <w:b/>
                <w:bCs/>
                <w:szCs w:val="21"/>
              </w:rPr>
            </w:pPr>
            <w:r>
              <w:rPr>
                <w:rFonts w:ascii="宋体" w:cs="宋体" w:hint="eastAsia"/>
                <w:b/>
                <w:bCs/>
                <w:szCs w:val="21"/>
              </w:rPr>
              <w:t>应急管理：</w:t>
            </w:r>
          </w:p>
          <w:p>
            <w:pPr>
              <w:widowControl/>
              <w:numPr>
                <w:ilvl w:val="0"/>
                <w:numId w:val="6"/>
              </w:numPr>
              <w:kinsoku w:val="0"/>
              <w:autoSpaceDE w:val="0"/>
              <w:autoSpaceDN w:val="0"/>
              <w:snapToGrid w:val="0"/>
              <w:ind w:left="0" w:firstLine="482"/>
              <w:jc w:val="left"/>
              <w:textAlignment w:val="baseline"/>
              <w:rPr>
                <w:rFonts w:ascii="宋体" w:cs="宋体"/>
                <w:szCs w:val="21"/>
              </w:rPr>
            </w:pPr>
            <w:r>
              <w:rPr>
                <w:rFonts w:ascii="宋体" w:cs="宋体" w:hint="eastAsia"/>
                <w:szCs w:val="21"/>
              </w:rPr>
              <w:t>建立突发事件应急预案体系，包括但不限于电梯困人、紧急会议、火警火灾、突发停电、水管破裂、意外伤害、群体性上访、台风、暴雨及雷电等应急预案。</w:t>
            </w:r>
          </w:p>
          <w:p>
            <w:pPr>
              <w:widowControl/>
              <w:numPr>
                <w:ilvl w:val="0"/>
                <w:numId w:val="6"/>
              </w:numPr>
              <w:kinsoku w:val="0"/>
              <w:autoSpaceDE w:val="0"/>
              <w:autoSpaceDN w:val="0"/>
              <w:snapToGrid w:val="0"/>
              <w:ind w:left="0" w:firstLine="482"/>
              <w:jc w:val="left"/>
              <w:textAlignment w:val="baseline"/>
              <w:rPr>
                <w:rFonts w:ascii="宋体" w:cs="宋体"/>
                <w:szCs w:val="21"/>
              </w:rPr>
            </w:pPr>
            <w:r>
              <w:rPr>
                <w:rFonts w:ascii="宋体" w:cs="宋体" w:hint="eastAsia"/>
                <w:szCs w:val="21"/>
              </w:rPr>
              <w:t>突发事件发生时应立即启动应急预案，迅速展开指挥协调、信息报告、紧急处置、秩序维护、抢险救援、后勤保障等工作，并在第一时间内向有关部门汇报处理结果。</w:t>
            </w:r>
          </w:p>
          <w:p>
            <w:pPr>
              <w:widowControl/>
              <w:numPr>
                <w:ilvl w:val="0"/>
                <w:numId w:val="6"/>
              </w:numPr>
              <w:kinsoku w:val="0"/>
              <w:autoSpaceDE w:val="0"/>
              <w:autoSpaceDN w:val="0"/>
              <w:snapToGrid w:val="0"/>
              <w:ind w:left="0" w:firstLine="482"/>
              <w:jc w:val="left"/>
              <w:textAlignment w:val="baseline"/>
              <w:rPr>
                <w:rFonts w:ascii="宋体" w:cs="宋体"/>
                <w:szCs w:val="21"/>
              </w:rPr>
            </w:pPr>
            <w:r>
              <w:rPr>
                <w:rFonts w:ascii="宋体" w:cs="宋体" w:hint="eastAsia"/>
                <w:szCs w:val="21"/>
              </w:rPr>
              <w:t>每年进行2次以上防火灾事故、防暴恐袭击等处置突发事件的培训和演练。</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6</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restart"/>
            <w:vAlign w:val="center"/>
          </w:tcPr>
          <w:p>
            <w:pPr>
              <w:widowControl/>
              <w:kinsoku w:val="0"/>
              <w:autoSpaceDE w:val="0"/>
              <w:autoSpaceDN w:val="0"/>
              <w:snapToGrid w:val="0"/>
              <w:ind w:firstLine="478"/>
              <w:textAlignment w:val="baseline"/>
              <w:rPr>
                <w:rFonts w:ascii="宋体" w:cs="宋体"/>
                <w:spacing w:val="-1"/>
                <w:szCs w:val="21"/>
              </w:rPr>
            </w:pPr>
            <w:r>
              <w:rPr>
                <w:rFonts w:ascii="宋体" w:cs="宋体" w:hint="eastAsia"/>
                <w:spacing w:val="-1"/>
                <w:szCs w:val="21"/>
              </w:rPr>
              <w:t>完全符合得</w:t>
            </w:r>
            <w:r>
              <w:rPr>
                <w:rFonts w:ascii="宋体" w:cs="宋体" w:hint="eastAsia"/>
                <w:szCs w:val="21"/>
              </w:rPr>
              <w:t>满分，部分符合相应</w:t>
            </w:r>
            <w:r>
              <w:rPr>
                <w:rFonts w:ascii="宋体" w:cs="宋体" w:hint="eastAsia"/>
                <w:spacing w:val="-18"/>
                <w:szCs w:val="21"/>
              </w:rPr>
              <w:t>递</w:t>
            </w:r>
            <w:r>
              <w:rPr>
                <w:rFonts w:ascii="宋体" w:cs="宋体" w:hint="eastAsia"/>
                <w:spacing w:val="-12"/>
                <w:szCs w:val="21"/>
              </w:rPr>
              <w:t>减， 不符合得 0 分；</w:t>
            </w:r>
          </w:p>
          <w:p>
            <w:pPr>
              <w:widowControl/>
              <w:kinsoku w:val="0"/>
              <w:autoSpaceDE w:val="0"/>
              <w:autoSpaceDN w:val="0"/>
              <w:snapToGrid w:val="0"/>
              <w:ind w:firstLine="478"/>
              <w:textAlignment w:val="baseline"/>
              <w:rPr>
                <w:rFonts w:ascii="宋体" w:cs="宋体"/>
                <w:szCs w:val="21"/>
              </w:rPr>
            </w:pPr>
            <w:r>
              <w:rPr>
                <w:rFonts w:ascii="宋体" w:cs="宋体" w:hint="eastAsia"/>
                <w:spacing w:val="-1"/>
                <w:szCs w:val="21"/>
              </w:rPr>
              <w:t>完全符合得</w:t>
            </w:r>
            <w:r>
              <w:rPr>
                <w:rFonts w:ascii="宋体" w:cs="宋体" w:hint="eastAsia"/>
                <w:szCs w:val="21"/>
              </w:rPr>
              <w:t>满分，部分符合相应</w:t>
            </w:r>
            <w:r>
              <w:rPr>
                <w:rFonts w:ascii="宋体" w:cs="宋体" w:hint="eastAsia"/>
                <w:spacing w:val="-18"/>
                <w:szCs w:val="21"/>
              </w:rPr>
              <w:t>递</w:t>
            </w:r>
            <w:r>
              <w:rPr>
                <w:rFonts w:ascii="宋体" w:cs="宋体" w:hint="eastAsia"/>
                <w:spacing w:val="-12"/>
                <w:szCs w:val="21"/>
              </w:rPr>
              <w:t>减， 不符合得 0 分；</w:t>
            </w:r>
          </w:p>
        </w:tc>
      </w:tr>
      <w:tr>
        <w:trPr>
          <w:trHeight w:val="695"/>
          <w:tblHeader/>
        </w:trPr>
        <w:tc>
          <w:tcPr>
            <w:tcW w:w="720" w:type="dxa"/>
            <w:vMerge/>
            <w:vAlign w:val="center"/>
          </w:tcPr>
          <w:p/>
        </w:tc>
        <w:tc>
          <w:tcPr>
            <w:tcW w:w="873" w:type="dxa"/>
            <w:vMerge/>
            <w:vAlign w:val="center"/>
          </w:tcPr>
          <w:p/>
        </w:tc>
        <w:tc>
          <w:tcPr>
            <w:tcW w:w="7791" w:type="dxa"/>
            <w:vAlign w:val="center"/>
          </w:tcPr>
          <w:p>
            <w:pPr>
              <w:widowControl/>
              <w:kinsoku w:val="0"/>
              <w:autoSpaceDE w:val="0"/>
              <w:autoSpaceDN w:val="0"/>
              <w:snapToGrid w:val="0"/>
              <w:textAlignment w:val="baseline"/>
              <w:rPr>
                <w:rFonts w:ascii="宋体" w:cs="宋体"/>
                <w:b/>
                <w:bCs/>
                <w:szCs w:val="21"/>
              </w:rPr>
            </w:pPr>
            <w:r>
              <w:rPr>
                <w:rFonts w:ascii="宋体" w:cs="宋体" w:hint="eastAsia"/>
                <w:b/>
                <w:bCs/>
                <w:szCs w:val="21"/>
              </w:rPr>
              <w:t>保安员专业技能培训：</w:t>
            </w:r>
          </w:p>
          <w:p>
            <w:pPr>
              <w:widowControl/>
              <w:kinsoku w:val="0"/>
              <w:autoSpaceDE w:val="0"/>
              <w:autoSpaceDN w:val="0"/>
              <w:snapToGrid w:val="0"/>
              <w:jc w:val="left"/>
              <w:textAlignment w:val="baseline"/>
              <w:rPr>
                <w:rFonts w:ascii="宋体" w:cs="宋体"/>
                <w:szCs w:val="21"/>
              </w:rPr>
            </w:pPr>
            <w:r>
              <w:rPr>
                <w:rFonts w:ascii="宋体" w:cs="宋体" w:hint="eastAsia"/>
                <w:szCs w:val="21"/>
              </w:rPr>
              <w:t>对派驻保安员进行每半年不少于1次的专业技能培训，服从单位对保安员的日常管理培训。培训应建立培训台账记录，并对保安员的培训效果进行相应的测试。</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3</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ign w:val="center"/>
          </w:tcPr>
          <w:p/>
        </w:tc>
      </w:tr>
      <w:tr>
        <w:trPr>
          <w:trHeight w:val="285"/>
          <w:tblHeader/>
        </w:trPr>
        <w:tc>
          <w:tcPr>
            <w:tcW w:w="720" w:type="dxa"/>
            <w:vMerge w:val="restart"/>
            <w:tcBorders>
              <w:left w:val="single" w:sz="6" w:space="0" w:color="000000"/>
              <w:right w:val="single" w:sz="2" w:space="0" w:color="000000"/>
            </w:tcBorders>
            <w:vAlign w:val="center"/>
          </w:tcPr>
          <w:p>
            <w:pPr>
              <w:widowControl/>
              <w:kinsoku w:val="0"/>
              <w:autoSpaceDE w:val="0"/>
              <w:autoSpaceDN w:val="0"/>
              <w:snapToGrid w:val="0"/>
              <w:jc w:val="center"/>
              <w:textAlignment w:val="baseline"/>
              <w:rPr>
                <w:rFonts w:ascii="宋体" w:cs="宋体"/>
                <w:szCs w:val="21"/>
              </w:rPr>
            </w:pPr>
          </w:p>
          <w:p>
            <w:pPr>
              <w:widowControl/>
              <w:kinsoku w:val="0"/>
              <w:autoSpaceDE w:val="0"/>
              <w:autoSpaceDN w:val="0"/>
              <w:snapToGrid w:val="0"/>
              <w:jc w:val="center"/>
              <w:textAlignment w:val="baseline"/>
              <w:rPr>
                <w:rFonts w:ascii="宋体" w:cs="宋体"/>
                <w:szCs w:val="21"/>
              </w:rPr>
            </w:pPr>
          </w:p>
          <w:p>
            <w:pPr>
              <w:widowControl/>
              <w:kinsoku w:val="0"/>
              <w:autoSpaceDE w:val="0"/>
              <w:autoSpaceDN w:val="0"/>
              <w:snapToGrid w:val="0"/>
              <w:ind w:left="297"/>
              <w:jc w:val="center"/>
              <w:textAlignment w:val="baseline"/>
              <w:rPr>
                <w:rFonts w:ascii="宋体" w:cs="宋体"/>
                <w:szCs w:val="21"/>
              </w:rPr>
            </w:pPr>
            <w:r>
              <w:rPr>
                <w:rFonts w:ascii="宋体" w:cs="宋体" w:hint="eastAsia"/>
                <w:szCs w:val="21"/>
              </w:rPr>
              <w:t>5</w:t>
            </w:r>
          </w:p>
        </w:tc>
        <w:tc>
          <w:tcPr>
            <w:tcW w:w="873" w:type="dxa"/>
            <w:vMerge w:val="restart"/>
            <w:tcBorders>
              <w:left w:val="single" w:sz="2" w:space="0" w:color="000000"/>
              <w:right w:val="single" w:sz="2" w:space="0" w:color="000000"/>
            </w:tcBorders>
            <w:vAlign w:val="center"/>
          </w:tcPr>
          <w:p>
            <w:pPr>
              <w:widowControl/>
              <w:kinsoku w:val="0"/>
              <w:autoSpaceDE w:val="0"/>
              <w:autoSpaceDN w:val="0"/>
              <w:snapToGrid w:val="0"/>
              <w:ind w:firstLine="480"/>
              <w:jc w:val="center"/>
              <w:textAlignment w:val="baseline"/>
              <w:rPr>
                <w:rFonts w:ascii="宋体" w:cs="宋体"/>
                <w:b/>
                <w:bCs/>
                <w:szCs w:val="21"/>
              </w:rPr>
            </w:pPr>
          </w:p>
          <w:p>
            <w:pPr>
              <w:widowControl/>
              <w:kinsoku w:val="0"/>
              <w:autoSpaceDE w:val="0"/>
              <w:autoSpaceDN w:val="0"/>
              <w:snapToGrid w:val="0"/>
              <w:ind w:left="212"/>
              <w:textAlignment w:val="baseline"/>
              <w:rPr>
                <w:rFonts w:ascii="宋体" w:cs="宋体"/>
                <w:b/>
                <w:bCs/>
                <w:spacing w:val="-2"/>
                <w:szCs w:val="21"/>
              </w:rPr>
            </w:pPr>
            <w:r>
              <w:rPr>
                <w:rFonts w:ascii="宋体" w:cs="宋体" w:hint="eastAsia"/>
                <w:b/>
                <w:bCs/>
                <w:spacing w:val="-2"/>
                <w:szCs w:val="21"/>
              </w:rPr>
              <w:t>绿化</w:t>
            </w:r>
          </w:p>
          <w:p>
            <w:pPr>
              <w:widowControl/>
              <w:kinsoku w:val="0"/>
              <w:autoSpaceDE w:val="0"/>
              <w:autoSpaceDN w:val="0"/>
              <w:snapToGrid w:val="0"/>
              <w:ind w:left="212"/>
              <w:textAlignment w:val="baseline"/>
              <w:rPr>
                <w:rFonts w:ascii="宋体" w:cs="宋体"/>
                <w:b/>
                <w:bCs/>
                <w:szCs w:val="21"/>
              </w:rPr>
            </w:pPr>
            <w:r>
              <w:rPr>
                <w:rFonts w:ascii="宋体" w:cs="宋体" w:hint="eastAsia"/>
                <w:b/>
                <w:bCs/>
                <w:spacing w:val="-2"/>
                <w:szCs w:val="21"/>
              </w:rPr>
              <w:t>养护</w:t>
            </w:r>
          </w:p>
        </w:tc>
        <w:tc>
          <w:tcPr>
            <w:tcW w:w="7791" w:type="dxa"/>
            <w:tcBorders>
              <w:left w:val="single" w:sz="2" w:space="0" w:color="000000"/>
              <w:right w:val="single" w:sz="2" w:space="0" w:color="000000"/>
            </w:tcBorders>
            <w:vAlign w:val="center"/>
          </w:tcPr>
          <w:p>
            <w:pPr>
              <w:widowControl/>
              <w:numPr>
                <w:ilvl w:val="0"/>
                <w:numId w:val="7"/>
              </w:numPr>
              <w:kinsoku w:val="0"/>
              <w:autoSpaceDE w:val="0"/>
              <w:autoSpaceDN w:val="0"/>
              <w:snapToGrid w:val="0"/>
              <w:ind w:left="0" w:firstLine="482"/>
              <w:textAlignment w:val="baseline"/>
              <w:rPr>
                <w:rFonts w:ascii="宋体" w:cs="宋体"/>
                <w:szCs w:val="21"/>
              </w:rPr>
            </w:pPr>
            <w:r>
              <w:rPr>
                <w:rFonts w:ascii="宋体" w:cs="宋体" w:hint="eastAsia"/>
                <w:szCs w:val="21"/>
              </w:rPr>
              <w:t>室内外绿化养护期内各类绿植应100%存活。</w:t>
            </w:r>
          </w:p>
        </w:tc>
        <w:tc>
          <w:tcPr>
            <w:tcW w:w="834" w:type="dxa"/>
            <w:tcBorders>
              <w:left w:val="single" w:sz="2" w:space="0" w:color="000000"/>
              <w:right w:val="single" w:sz="2" w:space="0" w:color="000000"/>
            </w:tcBorders>
            <w:vAlign w:val="center"/>
          </w:tcPr>
          <w:p>
            <w:pPr>
              <w:widowControl/>
              <w:kinsoku w:val="0"/>
              <w:autoSpaceDE w:val="0"/>
              <w:autoSpaceDN w:val="0"/>
              <w:snapToGrid w:val="0"/>
              <w:ind w:left="433"/>
              <w:textAlignment w:val="baseline"/>
              <w:rPr>
                <w:rFonts w:ascii="宋体" w:cs="宋体"/>
                <w:szCs w:val="21"/>
              </w:rPr>
            </w:pPr>
            <w:r>
              <w:rPr>
                <w:rFonts w:ascii="宋体" w:cs="宋体" w:hint="eastAsia"/>
                <w:szCs w:val="21"/>
              </w:rPr>
              <w:t>1</w:t>
            </w:r>
          </w:p>
        </w:tc>
        <w:tc>
          <w:tcPr>
            <w:tcW w:w="1107" w:type="dxa"/>
            <w:tcBorders>
              <w:left w:val="single" w:sz="2" w:space="0" w:color="000000"/>
              <w:right w:val="single" w:sz="2" w:space="0" w:color="000000"/>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val="restart"/>
            <w:tcBorders>
              <w:left w:val="single" w:sz="2" w:space="0" w:color="000000"/>
              <w:right w:val="single" w:sz="2" w:space="0" w:color="000000"/>
            </w:tcBorders>
            <w:vAlign w:val="center"/>
          </w:tcPr>
          <w:p>
            <w:pPr>
              <w:widowControl/>
              <w:kinsoku w:val="0"/>
              <w:autoSpaceDE w:val="0"/>
              <w:autoSpaceDN w:val="0"/>
              <w:snapToGrid w:val="0"/>
              <w:ind w:firstLine="478"/>
              <w:textAlignment w:val="baseline"/>
              <w:rPr>
                <w:rFonts w:ascii="宋体" w:cs="宋体"/>
                <w:szCs w:val="21"/>
              </w:rPr>
            </w:pPr>
            <w:r>
              <w:rPr>
                <w:rFonts w:ascii="宋体" w:cs="宋体" w:hint="eastAsia"/>
                <w:spacing w:val="-1"/>
                <w:szCs w:val="21"/>
              </w:rPr>
              <w:t>完全符合得</w:t>
            </w:r>
            <w:r>
              <w:rPr>
                <w:rFonts w:ascii="宋体" w:cs="宋体" w:hint="eastAsia"/>
                <w:szCs w:val="21"/>
              </w:rPr>
              <w:t>满分，部分符合相应</w:t>
            </w:r>
            <w:r>
              <w:rPr>
                <w:rFonts w:ascii="宋体" w:cs="宋体" w:hint="eastAsia"/>
                <w:spacing w:val="-18"/>
                <w:szCs w:val="21"/>
              </w:rPr>
              <w:t>递</w:t>
            </w:r>
            <w:r>
              <w:rPr>
                <w:rFonts w:ascii="宋体" w:cs="宋体" w:hint="eastAsia"/>
                <w:spacing w:val="-12"/>
                <w:szCs w:val="21"/>
              </w:rPr>
              <w:t>减， 不符合得 0 分；</w:t>
            </w:r>
          </w:p>
        </w:tc>
      </w:tr>
      <w:tr>
        <w:trPr>
          <w:trHeight w:val="246"/>
          <w:tblHeader/>
        </w:trPr>
        <w:tc>
          <w:tcPr>
            <w:tcW w:w="720" w:type="dxa"/>
            <w:vMerge/>
            <w:tcBorders>
              <w:left w:val="single" w:sz="6" w:space="0" w:color="000000"/>
              <w:right w:val="single" w:sz="2" w:space="0" w:color="000000"/>
            </w:tcBorders>
            <w:vAlign w:val="center"/>
          </w:tcPr>
          <w:p/>
        </w:tc>
        <w:tc>
          <w:tcPr>
            <w:tcW w:w="873" w:type="dxa"/>
            <w:vMerge/>
            <w:tcBorders>
              <w:left w:val="single" w:sz="2" w:space="0" w:color="000000"/>
              <w:right w:val="single" w:sz="2" w:space="0" w:color="000000"/>
            </w:tcBorders>
            <w:vAlign w:val="center"/>
          </w:tcPr>
          <w:p/>
        </w:tc>
        <w:tc>
          <w:tcPr>
            <w:tcW w:w="7791" w:type="dxa"/>
            <w:tcBorders>
              <w:left w:val="single" w:sz="2" w:space="0" w:color="000000"/>
              <w:right w:val="single" w:sz="2" w:space="0" w:color="000000"/>
            </w:tcBorders>
            <w:vAlign w:val="center"/>
          </w:tcPr>
          <w:p>
            <w:pPr>
              <w:widowControl/>
              <w:numPr>
                <w:ilvl w:val="0"/>
                <w:numId w:val="7"/>
              </w:numPr>
              <w:kinsoku w:val="0"/>
              <w:autoSpaceDE w:val="0"/>
              <w:autoSpaceDN w:val="0"/>
              <w:snapToGrid w:val="0"/>
              <w:ind w:left="0" w:firstLine="482"/>
              <w:textAlignment w:val="baseline"/>
              <w:rPr>
                <w:rFonts w:ascii="宋体" w:cs="宋体"/>
                <w:szCs w:val="21"/>
              </w:rPr>
            </w:pPr>
            <w:r>
              <w:rPr>
                <w:rFonts w:ascii="宋体" w:cs="宋体" w:hint="eastAsia"/>
                <w:szCs w:val="21"/>
              </w:rPr>
              <w:t>根据季节和气候状况，进行浇灌、施肥、修剪和松土等养护。</w:t>
            </w:r>
          </w:p>
        </w:tc>
        <w:tc>
          <w:tcPr>
            <w:tcW w:w="834" w:type="dxa"/>
            <w:tcBorders>
              <w:left w:val="single" w:sz="2" w:space="0" w:color="000000"/>
              <w:right w:val="single" w:sz="2" w:space="0" w:color="000000"/>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left w:val="single" w:sz="2" w:space="0" w:color="000000"/>
              <w:right w:val="single" w:sz="2" w:space="0" w:color="000000"/>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2" w:space="0" w:color="000000"/>
              <w:right w:val="single" w:sz="2" w:space="0" w:color="000000"/>
            </w:tcBorders>
            <w:vAlign w:val="center"/>
          </w:tcPr>
          <w:p/>
        </w:tc>
      </w:tr>
      <w:tr>
        <w:trPr>
          <w:trHeight w:val="470"/>
          <w:tblHeader/>
        </w:trPr>
        <w:tc>
          <w:tcPr>
            <w:tcW w:w="720" w:type="dxa"/>
            <w:vMerge/>
            <w:tcBorders>
              <w:left w:val="single" w:sz="6" w:space="0" w:color="000000"/>
              <w:right w:val="single" w:sz="2" w:space="0" w:color="000000"/>
            </w:tcBorders>
            <w:vAlign w:val="center"/>
          </w:tcPr>
          <w:p/>
        </w:tc>
        <w:tc>
          <w:tcPr>
            <w:tcW w:w="873" w:type="dxa"/>
            <w:vMerge/>
            <w:tcBorders>
              <w:left w:val="single" w:sz="2" w:space="0" w:color="000000"/>
              <w:right w:val="single" w:sz="2" w:space="0" w:color="000000"/>
            </w:tcBorders>
            <w:vAlign w:val="center"/>
          </w:tcPr>
          <w:p/>
        </w:tc>
        <w:tc>
          <w:tcPr>
            <w:tcW w:w="7791" w:type="dxa"/>
            <w:tcBorders>
              <w:left w:val="single" w:sz="2" w:space="0" w:color="000000"/>
              <w:right w:val="single" w:sz="2" w:space="0" w:color="000000"/>
            </w:tcBorders>
            <w:vAlign w:val="center"/>
          </w:tcPr>
          <w:p>
            <w:pPr>
              <w:widowControl/>
              <w:numPr>
                <w:ilvl w:val="0"/>
                <w:numId w:val="7"/>
              </w:numPr>
              <w:kinsoku w:val="0"/>
              <w:autoSpaceDE w:val="0"/>
              <w:autoSpaceDN w:val="0"/>
              <w:snapToGrid w:val="0"/>
              <w:ind w:left="0" w:firstLine="482"/>
              <w:textAlignment w:val="baseline"/>
              <w:rPr>
                <w:rFonts w:ascii="宋体" w:cs="宋体"/>
                <w:szCs w:val="21"/>
              </w:rPr>
            </w:pPr>
            <w:r>
              <w:rPr>
                <w:rFonts w:ascii="宋体" w:cs="宋体" w:hint="eastAsia"/>
                <w:szCs w:val="21"/>
              </w:rPr>
              <w:t>应选择观赏性强、观赏期长、方便管理的鲜活植物摆 放室内，植株长势良好，无残枝、无黄叶、无积尘，花朵饱满、无萎蔫，托盘内无积水。</w:t>
            </w:r>
          </w:p>
        </w:tc>
        <w:tc>
          <w:tcPr>
            <w:tcW w:w="834" w:type="dxa"/>
            <w:tcBorders>
              <w:left w:val="single" w:sz="2" w:space="0" w:color="000000"/>
              <w:right w:val="single" w:sz="2" w:space="0" w:color="000000"/>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left w:val="single" w:sz="2" w:space="0" w:color="000000"/>
              <w:right w:val="single" w:sz="2" w:space="0" w:color="000000"/>
            </w:tcBorders>
            <w:vAlign w:val="center"/>
          </w:tcPr>
          <w:p>
            <w:pPr>
              <w:widowControl/>
              <w:kinsoku w:val="0"/>
              <w:autoSpaceDE w:val="0"/>
              <w:autoSpaceDN w:val="0"/>
              <w:snapToGrid w:val="0"/>
              <w:textAlignment w:val="baseline"/>
              <w:rPr>
                <w:rFonts w:ascii="宋体" w:cs="宋体"/>
                <w:szCs w:val="21"/>
              </w:rPr>
            </w:pPr>
          </w:p>
          <w:p>
            <w:pPr>
              <w:widowControl/>
              <w:kinsoku w:val="0"/>
              <w:autoSpaceDE w:val="0"/>
              <w:autoSpaceDN w:val="0"/>
              <w:snapToGrid w:val="0"/>
              <w:textAlignment w:val="baseline"/>
              <w:rPr>
                <w:rFonts w:ascii="宋体" w:cs="宋体"/>
                <w:szCs w:val="21"/>
              </w:rPr>
            </w:pPr>
          </w:p>
        </w:tc>
        <w:tc>
          <w:tcPr>
            <w:tcW w:w="3309" w:type="dxa"/>
            <w:gridSpan w:val="2"/>
            <w:vMerge/>
            <w:tcBorders>
              <w:left w:val="single" w:sz="2" w:space="0" w:color="000000"/>
              <w:right w:val="single" w:sz="2" w:space="0" w:color="000000"/>
            </w:tcBorders>
            <w:vAlign w:val="center"/>
          </w:tcPr>
          <w:p/>
        </w:tc>
      </w:tr>
      <w:tr>
        <w:trPr>
          <w:trHeight w:val="470"/>
          <w:tblHeader/>
        </w:trPr>
        <w:tc>
          <w:tcPr>
            <w:tcW w:w="720" w:type="dxa"/>
            <w:vMerge/>
            <w:tcBorders>
              <w:left w:val="single" w:sz="6" w:space="0" w:color="000000"/>
              <w:right w:val="single" w:sz="2" w:space="0" w:color="000000"/>
            </w:tcBorders>
            <w:vAlign w:val="center"/>
          </w:tcPr>
          <w:p/>
        </w:tc>
        <w:tc>
          <w:tcPr>
            <w:tcW w:w="873" w:type="dxa"/>
            <w:vMerge/>
            <w:tcBorders>
              <w:left w:val="single" w:sz="2" w:space="0" w:color="000000"/>
              <w:right w:val="single" w:sz="2" w:space="0" w:color="000000"/>
            </w:tcBorders>
            <w:vAlign w:val="center"/>
          </w:tcPr>
          <w:p/>
        </w:tc>
        <w:tc>
          <w:tcPr>
            <w:tcW w:w="7791" w:type="dxa"/>
            <w:tcBorders>
              <w:left w:val="single" w:sz="2" w:space="0" w:color="000000"/>
              <w:right w:val="single" w:sz="2" w:space="0" w:color="000000"/>
            </w:tcBorders>
            <w:vAlign w:val="center"/>
          </w:tcPr>
          <w:p>
            <w:pPr>
              <w:widowControl/>
              <w:numPr>
                <w:ilvl w:val="0"/>
                <w:numId w:val="7"/>
              </w:numPr>
              <w:kinsoku w:val="0"/>
              <w:autoSpaceDE w:val="0"/>
              <w:autoSpaceDN w:val="0"/>
              <w:snapToGrid w:val="0"/>
              <w:ind w:left="0" w:firstLine="482"/>
              <w:textAlignment w:val="baseline"/>
              <w:rPr>
                <w:rFonts w:ascii="宋体" w:cs="宋体"/>
                <w:spacing w:val="-6"/>
                <w:szCs w:val="21"/>
              </w:rPr>
            </w:pPr>
            <w:r>
              <w:rPr>
                <w:rFonts w:ascii="宋体" w:cs="宋体" w:hint="eastAsia"/>
                <w:szCs w:val="21"/>
              </w:rPr>
              <w:t>室外乔木丰满健壮、生长良好，灌木枝叶紧密圆整， 无脱节、无枯枝。草坪生长整齐，清洁美观，修剪高度一致，覆盖率高。花卉色彩鲜艳，摆放造型新颖，无杂草、无枯死。</w:t>
            </w:r>
          </w:p>
        </w:tc>
        <w:tc>
          <w:tcPr>
            <w:tcW w:w="834" w:type="dxa"/>
            <w:tcBorders>
              <w:left w:val="single" w:sz="2" w:space="0" w:color="000000"/>
              <w:right w:val="single" w:sz="2" w:space="0" w:color="000000"/>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left w:val="single" w:sz="2" w:space="0" w:color="000000"/>
              <w:right w:val="single" w:sz="2" w:space="0" w:color="000000"/>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2" w:space="0" w:color="000000"/>
              <w:right w:val="single" w:sz="2" w:space="0" w:color="000000"/>
            </w:tcBorders>
            <w:vAlign w:val="center"/>
          </w:tcPr>
          <w:p/>
        </w:tc>
      </w:tr>
      <w:tr>
        <w:trPr>
          <w:trHeight w:val="470"/>
          <w:tblHeader/>
        </w:trPr>
        <w:tc>
          <w:tcPr>
            <w:tcW w:w="720" w:type="dxa"/>
            <w:vMerge/>
            <w:tcBorders>
              <w:left w:val="single" w:sz="6" w:space="0" w:color="000000"/>
              <w:right w:val="single" w:sz="2" w:space="0" w:color="000000"/>
            </w:tcBorders>
            <w:vAlign w:val="center"/>
          </w:tcPr>
          <w:p/>
        </w:tc>
        <w:tc>
          <w:tcPr>
            <w:tcW w:w="873" w:type="dxa"/>
            <w:vMerge/>
            <w:tcBorders>
              <w:left w:val="single" w:sz="2" w:space="0" w:color="000000"/>
              <w:right w:val="single" w:sz="2" w:space="0" w:color="000000"/>
            </w:tcBorders>
            <w:vAlign w:val="center"/>
          </w:tcPr>
          <w:p/>
        </w:tc>
        <w:tc>
          <w:tcPr>
            <w:tcW w:w="7791" w:type="dxa"/>
            <w:tcBorders>
              <w:left w:val="single" w:sz="2" w:space="0" w:color="000000"/>
              <w:right w:val="single" w:sz="2" w:space="0" w:color="000000"/>
            </w:tcBorders>
            <w:vAlign w:val="center"/>
          </w:tcPr>
          <w:p>
            <w:pPr>
              <w:widowControl/>
              <w:numPr>
                <w:ilvl w:val="0"/>
                <w:numId w:val="7"/>
              </w:numPr>
              <w:kinsoku w:val="0"/>
              <w:autoSpaceDE w:val="0"/>
              <w:autoSpaceDN w:val="0"/>
              <w:snapToGrid w:val="0"/>
              <w:ind w:left="0" w:firstLine="482"/>
              <w:textAlignment w:val="baseline"/>
              <w:rPr>
                <w:rFonts w:ascii="宋体" w:cs="宋体"/>
                <w:spacing w:val="-6"/>
                <w:szCs w:val="21"/>
              </w:rPr>
            </w:pPr>
            <w:r>
              <w:rPr>
                <w:rFonts w:ascii="宋体" w:cs="宋体" w:hint="eastAsia"/>
                <w:szCs w:val="21"/>
              </w:rPr>
              <w:t>雨、雪、台风等特殊天气前，应派专人巡查，及时加固、支撑、修剪高大乔木，排除安全隐患。</w:t>
            </w:r>
          </w:p>
        </w:tc>
        <w:tc>
          <w:tcPr>
            <w:tcW w:w="834" w:type="dxa"/>
            <w:tcBorders>
              <w:left w:val="single" w:sz="2" w:space="0" w:color="000000"/>
              <w:right w:val="single" w:sz="2" w:space="0" w:color="000000"/>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left w:val="single" w:sz="2" w:space="0" w:color="000000"/>
              <w:right w:val="single" w:sz="2" w:space="0" w:color="000000"/>
            </w:tcBorders>
            <w:vAlign w:val="center"/>
          </w:tcPr>
          <w:p>
            <w:pPr>
              <w:widowControl/>
              <w:kinsoku w:val="0"/>
              <w:autoSpaceDE w:val="0"/>
              <w:autoSpaceDN w:val="0"/>
              <w:snapToGrid w:val="0"/>
              <w:textAlignment w:val="baseline"/>
              <w:rPr>
                <w:rFonts w:ascii="宋体" w:cs="宋体"/>
                <w:szCs w:val="21"/>
              </w:rPr>
            </w:pPr>
          </w:p>
          <w:p>
            <w:pPr>
              <w:widowControl/>
              <w:kinsoku w:val="0"/>
              <w:autoSpaceDE w:val="0"/>
              <w:autoSpaceDN w:val="0"/>
              <w:snapToGrid w:val="0"/>
              <w:textAlignment w:val="baseline"/>
              <w:rPr>
                <w:rFonts w:ascii="宋体" w:cs="宋体"/>
                <w:szCs w:val="21"/>
              </w:rPr>
            </w:pPr>
          </w:p>
        </w:tc>
        <w:tc>
          <w:tcPr>
            <w:tcW w:w="3309" w:type="dxa"/>
            <w:gridSpan w:val="2"/>
            <w:vMerge/>
            <w:tcBorders>
              <w:left w:val="single" w:sz="2" w:space="0" w:color="000000"/>
              <w:right w:val="single" w:sz="2" w:space="0" w:color="000000"/>
            </w:tcBorders>
            <w:vAlign w:val="center"/>
          </w:tcPr>
          <w:p/>
        </w:tc>
      </w:tr>
      <w:tr>
        <w:trPr>
          <w:trHeight w:val="470"/>
          <w:tblHeader/>
        </w:trPr>
        <w:tc>
          <w:tcPr>
            <w:tcW w:w="720" w:type="dxa"/>
            <w:vMerge/>
            <w:tcBorders>
              <w:left w:val="single" w:sz="6" w:space="0" w:color="000000"/>
              <w:right w:val="single" w:sz="2" w:space="0" w:color="000000"/>
            </w:tcBorders>
            <w:vAlign w:val="center"/>
          </w:tcPr>
          <w:p/>
        </w:tc>
        <w:tc>
          <w:tcPr>
            <w:tcW w:w="873" w:type="dxa"/>
            <w:vMerge/>
            <w:tcBorders>
              <w:left w:val="single" w:sz="2" w:space="0" w:color="000000"/>
              <w:right w:val="single" w:sz="2" w:space="0" w:color="000000"/>
            </w:tcBorders>
            <w:vAlign w:val="center"/>
          </w:tcPr>
          <w:p/>
        </w:tc>
        <w:tc>
          <w:tcPr>
            <w:tcW w:w="7791" w:type="dxa"/>
            <w:tcBorders>
              <w:left w:val="single" w:sz="2" w:space="0" w:color="000000"/>
              <w:right w:val="single" w:sz="2" w:space="0" w:color="000000"/>
            </w:tcBorders>
            <w:vAlign w:val="center"/>
          </w:tcPr>
          <w:p>
            <w:pPr>
              <w:widowControl/>
              <w:numPr>
                <w:ilvl w:val="0"/>
                <w:numId w:val="7"/>
              </w:numPr>
              <w:kinsoku w:val="0"/>
              <w:autoSpaceDE w:val="0"/>
              <w:autoSpaceDN w:val="0"/>
              <w:snapToGrid w:val="0"/>
              <w:ind w:left="0" w:firstLine="482"/>
              <w:textAlignment w:val="baseline"/>
              <w:rPr>
                <w:rFonts w:ascii="宋体" w:cs="宋体"/>
                <w:szCs w:val="21"/>
              </w:rPr>
            </w:pPr>
            <w:r>
              <w:rPr>
                <w:rFonts w:ascii="宋体" w:cs="宋体" w:hint="eastAsia"/>
                <w:szCs w:val="21"/>
              </w:rPr>
              <w:t>定期检查病虫害情况，病虫害防治率100%，危害率低于5%。</w:t>
            </w:r>
          </w:p>
        </w:tc>
        <w:tc>
          <w:tcPr>
            <w:tcW w:w="834" w:type="dxa"/>
            <w:tcBorders>
              <w:left w:val="single" w:sz="2" w:space="0" w:color="000000"/>
              <w:right w:val="single" w:sz="2" w:space="0" w:color="000000"/>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left w:val="single" w:sz="2" w:space="0" w:color="000000"/>
              <w:right w:val="single" w:sz="2" w:space="0" w:color="000000"/>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2" w:space="0" w:color="000000"/>
              <w:right w:val="single" w:sz="2" w:space="0" w:color="000000"/>
            </w:tcBorders>
            <w:vAlign w:val="center"/>
          </w:tcPr>
          <w:p/>
        </w:tc>
      </w:tr>
      <w:tr>
        <w:trPr>
          <w:trHeight w:val="465"/>
          <w:tblHeader/>
        </w:trPr>
        <w:tc>
          <w:tcPr>
            <w:tcW w:w="720" w:type="dxa"/>
            <w:vMerge/>
            <w:tcBorders>
              <w:left w:val="single" w:sz="6" w:space="0" w:color="000000"/>
              <w:right w:val="single" w:sz="2" w:space="0" w:color="000000"/>
            </w:tcBorders>
            <w:vAlign w:val="center"/>
          </w:tcPr>
          <w:p/>
        </w:tc>
        <w:tc>
          <w:tcPr>
            <w:tcW w:w="873" w:type="dxa"/>
            <w:vMerge/>
            <w:tcBorders>
              <w:left w:val="single" w:sz="2" w:space="0" w:color="000000"/>
              <w:right w:val="single" w:sz="2" w:space="0" w:color="000000"/>
            </w:tcBorders>
            <w:vAlign w:val="center"/>
          </w:tcPr>
          <w:p/>
        </w:tc>
        <w:tc>
          <w:tcPr>
            <w:tcW w:w="7791" w:type="dxa"/>
            <w:tcBorders>
              <w:left w:val="single" w:sz="2" w:space="0" w:color="000000"/>
              <w:right w:val="single" w:sz="2" w:space="0" w:color="000000"/>
            </w:tcBorders>
            <w:vAlign w:val="center"/>
          </w:tcPr>
          <w:p>
            <w:pPr>
              <w:widowControl/>
              <w:numPr>
                <w:ilvl w:val="0"/>
                <w:numId w:val="7"/>
              </w:numPr>
              <w:kinsoku w:val="0"/>
              <w:autoSpaceDE w:val="0"/>
              <w:autoSpaceDN w:val="0"/>
              <w:snapToGrid w:val="0"/>
              <w:ind w:left="0" w:firstLine="482"/>
              <w:textAlignment w:val="baseline"/>
              <w:rPr>
                <w:rFonts w:ascii="宋体" w:cs="宋体"/>
                <w:szCs w:val="21"/>
              </w:rPr>
            </w:pPr>
            <w:r>
              <w:rPr>
                <w:rFonts w:ascii="宋体" w:cs="宋体" w:hint="eastAsia"/>
                <w:szCs w:val="21"/>
              </w:rPr>
              <w:t>对失去观赏价值或严重病虫害的植物及时给予调换。</w:t>
            </w:r>
          </w:p>
        </w:tc>
        <w:tc>
          <w:tcPr>
            <w:tcW w:w="834" w:type="dxa"/>
            <w:tcBorders>
              <w:left w:val="single" w:sz="2" w:space="0" w:color="000000"/>
              <w:right w:val="single" w:sz="2" w:space="0" w:color="000000"/>
            </w:tcBorders>
            <w:vAlign w:val="center"/>
          </w:tcPr>
          <w:p>
            <w:pPr>
              <w:widowControl/>
              <w:kinsoku w:val="0"/>
              <w:autoSpaceDE w:val="0"/>
              <w:autoSpaceDN w:val="0"/>
              <w:snapToGrid w:val="0"/>
              <w:ind w:firstLineChars="200" w:firstLine="420"/>
              <w:textAlignment w:val="baseline"/>
              <w:rPr>
                <w:rFonts w:ascii="宋体" w:cs="宋体"/>
                <w:szCs w:val="21"/>
              </w:rPr>
            </w:pPr>
            <w:r>
              <w:rPr>
                <w:rFonts w:ascii="宋体" w:cs="宋体" w:hint="eastAsia"/>
                <w:szCs w:val="21"/>
              </w:rPr>
              <w:t>1</w:t>
            </w:r>
          </w:p>
        </w:tc>
        <w:tc>
          <w:tcPr>
            <w:tcW w:w="1107" w:type="dxa"/>
            <w:tcBorders>
              <w:left w:val="single" w:sz="2" w:space="0" w:color="000000"/>
              <w:right w:val="single" w:sz="2" w:space="0" w:color="000000"/>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2" w:space="0" w:color="000000"/>
              <w:right w:val="single" w:sz="2" w:space="0" w:color="000000"/>
            </w:tcBorders>
            <w:vAlign w:val="center"/>
          </w:tcPr>
          <w:p/>
        </w:tc>
      </w:tr>
      <w:tr>
        <w:trPr>
          <w:trHeight w:val="595"/>
          <w:tblHeader/>
        </w:trPr>
        <w:tc>
          <w:tcPr>
            <w:tcW w:w="720" w:type="dxa"/>
            <w:vMerge w:val="restart"/>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jc w:val="center"/>
              <w:textAlignment w:val="baseline"/>
              <w:rPr>
                <w:rFonts w:ascii="宋体" w:cs="宋体"/>
                <w:szCs w:val="21"/>
              </w:rPr>
            </w:pPr>
          </w:p>
          <w:p>
            <w:pPr>
              <w:widowControl/>
              <w:kinsoku w:val="0"/>
              <w:autoSpaceDE w:val="0"/>
              <w:autoSpaceDN w:val="0"/>
              <w:snapToGrid w:val="0"/>
              <w:ind w:left="302"/>
              <w:jc w:val="center"/>
              <w:textAlignment w:val="baseline"/>
              <w:rPr>
                <w:rFonts w:ascii="宋体" w:cs="宋体"/>
                <w:szCs w:val="21"/>
              </w:rPr>
            </w:pPr>
            <w:r>
              <w:rPr>
                <w:rFonts w:ascii="宋体" w:cs="宋体" w:hint="eastAsia"/>
                <w:szCs w:val="21"/>
              </w:rPr>
              <w:t>6</w:t>
            </w:r>
          </w:p>
        </w:tc>
        <w:tc>
          <w:tcPr>
            <w:tcW w:w="873" w:type="dxa"/>
            <w:vMerge w:val="restart"/>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textAlignment w:val="baseline"/>
              <w:rPr>
                <w:rFonts w:ascii="宋体" w:cs="宋体"/>
                <w:b/>
                <w:bCs/>
                <w:szCs w:val="21"/>
              </w:rPr>
            </w:pPr>
            <w:r>
              <w:rPr>
                <w:rFonts w:ascii="宋体" w:cs="宋体" w:hint="eastAsia"/>
                <w:b/>
                <w:bCs/>
                <w:szCs w:val="21"/>
              </w:rPr>
              <w:t>设施设备维</w:t>
            </w:r>
            <w:r>
              <w:rPr>
                <w:rFonts w:ascii="宋体" w:cs="宋体" w:hint="eastAsia"/>
                <w:b/>
                <w:bCs/>
                <w:spacing w:val="-2"/>
                <w:szCs w:val="21"/>
              </w:rPr>
              <w:t>护</w:t>
            </w: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房屋地面、墙、台面、吊顶、门窗、楼梯、通风道、卫生洁具、大厅玻璃顶、外墙幕墙等完好，无霉变破损。</w:t>
            </w:r>
          </w:p>
        </w:tc>
        <w:tc>
          <w:tcPr>
            <w:tcW w:w="834"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val="restart"/>
            <w:tcBorders>
              <w:top w:val="single" w:sz="4" w:space="0" w:color="auto"/>
              <w:left w:val="single" w:sz="4" w:space="0" w:color="auto"/>
              <w:right w:val="single" w:sz="4" w:space="0" w:color="auto"/>
            </w:tcBorders>
            <w:vAlign w:val="center"/>
          </w:tcPr>
          <w:p>
            <w:pPr>
              <w:widowControl/>
              <w:kinsoku w:val="0"/>
              <w:autoSpaceDE w:val="0"/>
              <w:autoSpaceDN w:val="0"/>
              <w:snapToGrid w:val="0"/>
              <w:ind w:firstLine="478"/>
              <w:textAlignment w:val="baseline"/>
              <w:rPr>
                <w:rFonts w:ascii="宋体" w:cs="宋体"/>
                <w:szCs w:val="21"/>
              </w:rPr>
            </w:pPr>
            <w:r>
              <w:rPr>
                <w:rFonts w:ascii="宋体" w:cs="宋体" w:hint="eastAsia"/>
                <w:spacing w:val="-1"/>
                <w:szCs w:val="21"/>
              </w:rPr>
              <w:t>完全符合得</w:t>
            </w:r>
            <w:r>
              <w:rPr>
                <w:rFonts w:ascii="宋体" w:cs="宋体" w:hint="eastAsia"/>
                <w:szCs w:val="21"/>
              </w:rPr>
              <w:t>满分，部分符合相应</w:t>
            </w:r>
          </w:p>
          <w:p>
            <w:pPr>
              <w:widowControl/>
              <w:kinsoku w:val="0"/>
              <w:autoSpaceDE w:val="0"/>
              <w:autoSpaceDN w:val="0"/>
              <w:snapToGrid w:val="0"/>
              <w:ind w:firstLine="410"/>
              <w:textAlignment w:val="baseline"/>
              <w:rPr>
                <w:rFonts w:ascii="宋体" w:cs="宋体"/>
                <w:szCs w:val="21"/>
              </w:rPr>
            </w:pPr>
            <w:r>
              <w:rPr>
                <w:rFonts w:ascii="宋体" w:cs="宋体" w:hint="eastAsia"/>
                <w:spacing w:val="-18"/>
                <w:szCs w:val="21"/>
              </w:rPr>
              <w:t>递</w:t>
            </w:r>
            <w:r>
              <w:rPr>
                <w:rFonts w:ascii="宋体" w:cs="宋体" w:hint="eastAsia"/>
                <w:spacing w:val="-12"/>
                <w:szCs w:val="21"/>
              </w:rPr>
              <w:t>减， 不符合得 0 分</w:t>
            </w:r>
          </w:p>
        </w:tc>
      </w:tr>
      <w:tr>
        <w:trPr>
          <w:trHeight w:val="403"/>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至少每天巡视一次高配房设备运行情况，如实记录设备运行参数。定期对各类机房设备设施进行检查、维护、清洁，并做好记录。</w:t>
            </w:r>
          </w:p>
        </w:tc>
        <w:tc>
          <w:tcPr>
            <w:tcW w:w="834"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371"/>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确保各类照明灯具、应急照明系统、供用电设备设施（包括配电箱、桥架、井道、开关、插座等）运行正常。</w:t>
            </w:r>
          </w:p>
        </w:tc>
        <w:tc>
          <w:tcPr>
            <w:tcW w:w="834"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695"/>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right="100" w:firstLine="482"/>
              <w:textAlignment w:val="baseline"/>
              <w:rPr>
                <w:rFonts w:ascii="宋体" w:cs="宋体"/>
                <w:szCs w:val="21"/>
              </w:rPr>
            </w:pPr>
            <w:r>
              <w:rPr>
                <w:rFonts w:ascii="宋体" w:cs="宋体" w:hint="eastAsia"/>
                <w:szCs w:val="21"/>
              </w:rPr>
              <w:t>每日检查污水泵、排水泵、生活水泵、阀门、管道、仪表等，确保给排水系统正常运行，无“跑”“冒”“滴”“漏”现象。</w:t>
            </w:r>
          </w:p>
        </w:tc>
        <w:tc>
          <w:tcPr>
            <w:tcW w:w="834"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608"/>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定期对水泵、管道进行养护，每年至少两次对水箱进行全面清洗，并提供水质检测报告。</w:t>
            </w:r>
          </w:p>
        </w:tc>
        <w:tc>
          <w:tcPr>
            <w:tcW w:w="834"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414"/>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定期对监控系统、门禁系统、多媒体系统、 会议系统等智能弱电设备进行巡查，定期清理设备机柜、控制箱等外表吸附的灰尘和絮状物。</w:t>
            </w:r>
          </w:p>
        </w:tc>
        <w:tc>
          <w:tcPr>
            <w:tcW w:w="834"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695"/>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定期对电梯进行日常维护和应急维修应及时记录，建立每台电梯的台账档案，配合维保公司完成电梯检测。</w:t>
            </w:r>
          </w:p>
        </w:tc>
        <w:tc>
          <w:tcPr>
            <w:tcW w:w="834"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top w:val="single" w:sz="4" w:space="0" w:color="auto"/>
              <w:left w:val="single" w:sz="4" w:space="0" w:color="auto"/>
              <w:bottom w:val="single" w:sz="4" w:space="0" w:color="auto"/>
              <w:right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414"/>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定期对消防设施设备进行巡查和维护，建立台账并记录在案。</w:t>
            </w:r>
          </w:p>
        </w:tc>
        <w:tc>
          <w:tcPr>
            <w:tcW w:w="834" w:type="dxa"/>
            <w:tcBorders>
              <w:top w:val="single" w:sz="4" w:space="0" w:color="auto"/>
              <w:lef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tcBorders>
              <w:top w:val="single" w:sz="4" w:space="0" w:color="auto"/>
            </w:tcBorders>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450"/>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bottom w:val="single" w:sz="4" w:space="0" w:color="auto"/>
              <w:righ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定期对空调通风系统进行检查、维护、清洁，确保空调系统正常运行，建立台账并记录在案。</w:t>
            </w:r>
          </w:p>
        </w:tc>
        <w:tc>
          <w:tcPr>
            <w:tcW w:w="834" w:type="dxa"/>
            <w:tcBorders>
              <w:left w:val="single" w:sz="4" w:space="0" w:color="auto"/>
            </w:tcBorders>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482"/>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top w:val="single" w:sz="4" w:space="0" w:color="auto"/>
              <w:lef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确保办公区零星维修的及时性，一般修理在两小时内处理完毕，小修在半个工作日内处理完毕，其他大修项目自受理之日起3个工作日内处理完毕，确保零星维修合格率达到100%。工程维修人员必须持有效期内相应证件上岗。</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482"/>
          <w:tblHeader/>
        </w:trPr>
        <w:tc>
          <w:tcPr>
            <w:tcW w:w="720" w:type="dxa"/>
            <w:vMerge/>
            <w:tcBorders>
              <w:top w:val="single" w:sz="4" w:space="0" w:color="auto"/>
              <w:left w:val="single" w:sz="4" w:space="0" w:color="auto"/>
              <w:bottom w:val="single" w:sz="4" w:space="0" w:color="auto"/>
              <w:right w:val="single" w:sz="4" w:space="0" w:color="auto"/>
            </w:tcBorders>
            <w:vAlign w:val="center"/>
          </w:tcPr>
          <w:p/>
        </w:tc>
        <w:tc>
          <w:tcPr>
            <w:tcW w:w="873" w:type="dxa"/>
            <w:vMerge/>
            <w:tcBorders>
              <w:top w:val="single" w:sz="4" w:space="0" w:color="auto"/>
              <w:left w:val="single" w:sz="4" w:space="0" w:color="auto"/>
              <w:bottom w:val="single" w:sz="4" w:space="0" w:color="auto"/>
              <w:right w:val="single" w:sz="4" w:space="0" w:color="auto"/>
            </w:tcBorders>
            <w:vAlign w:val="center"/>
          </w:tcPr>
          <w:p/>
        </w:tc>
        <w:tc>
          <w:tcPr>
            <w:tcW w:w="7791" w:type="dxa"/>
            <w:tcBorders>
              <w:left w:val="single" w:sz="4" w:space="0" w:color="auto"/>
            </w:tcBorders>
            <w:vAlign w:val="center"/>
          </w:tcPr>
          <w:p>
            <w:pPr>
              <w:widowControl/>
              <w:numPr>
                <w:ilvl w:val="0"/>
                <w:numId w:val="8"/>
              </w:numPr>
              <w:kinsoku w:val="0"/>
              <w:autoSpaceDE w:val="0"/>
              <w:autoSpaceDN w:val="0"/>
              <w:snapToGrid w:val="0"/>
              <w:ind w:left="0" w:firstLine="482"/>
              <w:textAlignment w:val="baseline"/>
              <w:rPr>
                <w:rFonts w:ascii="宋体" w:cs="宋体"/>
                <w:szCs w:val="21"/>
              </w:rPr>
            </w:pPr>
            <w:r>
              <w:rPr>
                <w:rFonts w:ascii="宋体" w:cs="宋体" w:hint="eastAsia"/>
                <w:szCs w:val="21"/>
              </w:rPr>
              <w:t>定期对大楼各项设施设备进行安全排查，消除安全隐患。</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tcBorders>
              <w:left w:val="single" w:sz="4" w:space="0" w:color="auto"/>
              <w:right w:val="single" w:sz="4" w:space="0" w:color="auto"/>
            </w:tcBorders>
            <w:vAlign w:val="center"/>
          </w:tcPr>
          <w:p/>
        </w:tc>
      </w:tr>
      <w:tr>
        <w:trPr>
          <w:trHeight w:val="482"/>
          <w:tblHeader/>
        </w:trPr>
        <w:tc>
          <w:tcPr>
            <w:tcW w:w="720" w:type="dxa"/>
            <w:vMerge w:val="restart"/>
            <w:tcBorders>
              <w:top w:val="single" w:sz="4" w:space="0" w:color="auto"/>
              <w:left w:val="single" w:sz="6" w:space="0" w:color="000000"/>
              <w:bottom w:val="single" w:sz="4" w:space="0" w:color="auto"/>
            </w:tcBorders>
            <w:vAlign w:val="center"/>
          </w:tcPr>
          <w:p>
            <w:pPr>
              <w:widowControl/>
              <w:kinsoku w:val="0"/>
              <w:autoSpaceDE w:val="0"/>
              <w:autoSpaceDN w:val="0"/>
              <w:snapToGrid w:val="0"/>
              <w:jc w:val="center"/>
              <w:textAlignment w:val="baseline"/>
              <w:rPr>
                <w:rFonts w:ascii="宋体" w:cs="宋体"/>
                <w:szCs w:val="21"/>
              </w:rPr>
            </w:pPr>
            <w:r>
              <w:rPr>
                <w:rFonts w:ascii="宋体" w:cs="宋体" w:hint="eastAsia"/>
                <w:szCs w:val="21"/>
              </w:rPr>
              <w:t>7</w:t>
            </w:r>
          </w:p>
        </w:tc>
        <w:tc>
          <w:tcPr>
            <w:tcW w:w="873" w:type="dxa"/>
            <w:vMerge w:val="restart"/>
            <w:tcBorders>
              <w:top w:val="single" w:sz="4" w:space="0" w:color="auto"/>
              <w:bottom w:val="single" w:sz="4" w:space="0" w:color="auto"/>
            </w:tcBorders>
            <w:vAlign w:val="center"/>
          </w:tcPr>
          <w:p>
            <w:pPr>
              <w:widowControl/>
              <w:kinsoku w:val="0"/>
              <w:autoSpaceDE w:val="0"/>
              <w:autoSpaceDN w:val="0"/>
              <w:snapToGrid w:val="0"/>
              <w:jc w:val="center"/>
              <w:textAlignment w:val="baseline"/>
              <w:rPr>
                <w:rFonts w:ascii="宋体" w:cs="宋体"/>
                <w:b/>
                <w:bCs/>
                <w:szCs w:val="21"/>
              </w:rPr>
            </w:pPr>
            <w:r>
              <w:rPr>
                <w:rFonts w:ascii="宋体" w:cs="宋体" w:hint="eastAsia"/>
                <w:b/>
                <w:bCs/>
                <w:szCs w:val="21"/>
              </w:rPr>
              <w:t>投入设备、耗材情况</w:t>
            </w:r>
          </w:p>
        </w:tc>
        <w:tc>
          <w:tcPr>
            <w:tcW w:w="7791" w:type="dxa"/>
            <w:vAlign w:val="center"/>
          </w:tcPr>
          <w:p>
            <w:pPr>
              <w:widowControl/>
              <w:numPr>
                <w:ilvl w:val="0"/>
                <w:numId w:val="9"/>
              </w:numPr>
              <w:kinsoku w:val="0"/>
              <w:autoSpaceDE w:val="0"/>
              <w:autoSpaceDN w:val="0"/>
              <w:snapToGrid w:val="0"/>
              <w:ind w:left="0" w:firstLine="450"/>
              <w:textAlignment w:val="baseline"/>
              <w:rPr>
                <w:rFonts w:ascii="宋体" w:cs="宋体"/>
                <w:spacing w:val="-8"/>
                <w:szCs w:val="21"/>
              </w:rPr>
            </w:pPr>
            <w:r>
              <w:rPr>
                <w:rFonts w:ascii="宋体" w:cs="宋体" w:hint="eastAsia"/>
                <w:spacing w:val="-8"/>
                <w:szCs w:val="21"/>
              </w:rPr>
              <w:t>投入本项目的设备情况与招标需求、投标承诺一致</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restart"/>
            <w:vAlign w:val="center"/>
          </w:tcPr>
          <w:p>
            <w:pPr>
              <w:widowControl/>
              <w:kinsoku w:val="0"/>
              <w:autoSpaceDE w:val="0"/>
              <w:autoSpaceDN w:val="0"/>
              <w:snapToGrid w:val="0"/>
              <w:ind w:firstLine="478"/>
              <w:textAlignment w:val="baseline"/>
              <w:rPr>
                <w:rFonts w:ascii="宋体" w:cs="宋体"/>
                <w:szCs w:val="21"/>
              </w:rPr>
            </w:pPr>
            <w:r>
              <w:rPr>
                <w:rFonts w:ascii="宋体" w:cs="宋体" w:hint="eastAsia"/>
                <w:spacing w:val="-1"/>
                <w:szCs w:val="21"/>
              </w:rPr>
              <w:t>完全符合得</w:t>
            </w:r>
            <w:r>
              <w:rPr>
                <w:rFonts w:ascii="宋体" w:cs="宋体" w:hint="eastAsia"/>
                <w:szCs w:val="21"/>
              </w:rPr>
              <w:t>满分，部分符合相应</w:t>
            </w:r>
          </w:p>
          <w:p>
            <w:pPr>
              <w:widowControl/>
              <w:kinsoku w:val="0"/>
              <w:autoSpaceDE w:val="0"/>
              <w:autoSpaceDN w:val="0"/>
              <w:snapToGrid w:val="0"/>
              <w:ind w:firstLine="410"/>
              <w:textAlignment w:val="baseline"/>
              <w:rPr>
                <w:rFonts w:ascii="宋体" w:cs="宋体"/>
                <w:szCs w:val="21"/>
              </w:rPr>
            </w:pPr>
            <w:r>
              <w:rPr>
                <w:rFonts w:ascii="宋体" w:cs="宋体" w:hint="eastAsia"/>
                <w:spacing w:val="-18"/>
                <w:szCs w:val="21"/>
              </w:rPr>
              <w:t>递</w:t>
            </w:r>
            <w:r>
              <w:rPr>
                <w:rFonts w:ascii="宋体" w:cs="宋体" w:hint="eastAsia"/>
                <w:spacing w:val="-12"/>
                <w:szCs w:val="21"/>
              </w:rPr>
              <w:t>减， 不符合得 0 分</w:t>
            </w:r>
          </w:p>
        </w:tc>
      </w:tr>
      <w:tr>
        <w:trPr>
          <w:trHeight w:val="517"/>
          <w:tblHeader/>
        </w:trPr>
        <w:tc>
          <w:tcPr>
            <w:tcW w:w="720" w:type="dxa"/>
            <w:vMerge/>
            <w:tcBorders>
              <w:top w:val="single" w:sz="4" w:space="0" w:color="auto"/>
              <w:left w:val="single" w:sz="6" w:space="0" w:color="000000"/>
              <w:bottom w:val="single" w:sz="4" w:space="0" w:color="auto"/>
            </w:tcBorders>
            <w:vAlign w:val="center"/>
          </w:tcPr>
          <w:p/>
        </w:tc>
        <w:tc>
          <w:tcPr>
            <w:tcW w:w="873" w:type="dxa"/>
            <w:vMerge/>
            <w:tcBorders>
              <w:top w:val="single" w:sz="4" w:space="0" w:color="auto"/>
              <w:bottom w:val="single" w:sz="4" w:space="0" w:color="auto"/>
            </w:tcBorders>
            <w:vAlign w:val="center"/>
          </w:tcPr>
          <w:p/>
        </w:tc>
        <w:tc>
          <w:tcPr>
            <w:tcW w:w="7791" w:type="dxa"/>
            <w:vAlign w:val="center"/>
          </w:tcPr>
          <w:p>
            <w:pPr>
              <w:widowControl/>
              <w:numPr>
                <w:ilvl w:val="0"/>
                <w:numId w:val="9"/>
              </w:numPr>
              <w:kinsoku w:val="0"/>
              <w:autoSpaceDE w:val="0"/>
              <w:autoSpaceDN w:val="0"/>
              <w:snapToGrid w:val="0"/>
              <w:ind w:left="0" w:firstLine="450"/>
              <w:textAlignment w:val="baseline"/>
              <w:rPr>
                <w:rFonts w:ascii="宋体" w:cs="宋体"/>
                <w:spacing w:val="-8"/>
                <w:szCs w:val="21"/>
              </w:rPr>
            </w:pPr>
            <w:r>
              <w:rPr>
                <w:rFonts w:ascii="宋体" w:cs="宋体" w:hint="eastAsia"/>
                <w:spacing w:val="-8"/>
                <w:szCs w:val="21"/>
              </w:rPr>
              <w:t>投入本项目的保洁日常工具、厕纸、擦手纸、洗手液等耗材与招标需求、投标承诺一致</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1</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ign w:val="center"/>
          </w:tcPr>
          <w:p/>
        </w:tc>
      </w:tr>
      <w:tr>
        <w:trPr>
          <w:trHeight w:val="482"/>
          <w:tblHeader/>
        </w:trPr>
        <w:tc>
          <w:tcPr>
            <w:tcW w:w="720" w:type="dxa"/>
            <w:vMerge w:val="restart"/>
            <w:tcBorders>
              <w:top w:val="single" w:sz="4" w:space="0" w:color="auto"/>
              <w:left w:val="single" w:sz="6" w:space="0" w:color="000000"/>
              <w:bottom w:val="single" w:sz="4" w:space="0" w:color="auto"/>
            </w:tcBorders>
            <w:vAlign w:val="center"/>
          </w:tcPr>
          <w:p>
            <w:pPr>
              <w:widowControl/>
              <w:kinsoku w:val="0"/>
              <w:autoSpaceDE w:val="0"/>
              <w:autoSpaceDN w:val="0"/>
              <w:snapToGrid w:val="0"/>
              <w:jc w:val="center"/>
              <w:textAlignment w:val="baseline"/>
              <w:rPr>
                <w:rFonts w:ascii="宋体" w:cs="宋体"/>
                <w:szCs w:val="21"/>
              </w:rPr>
            </w:pPr>
            <w:r>
              <w:rPr>
                <w:rFonts w:ascii="宋体" w:cs="宋体" w:hint="eastAsia"/>
                <w:szCs w:val="21"/>
              </w:rPr>
              <w:t>8</w:t>
            </w:r>
          </w:p>
        </w:tc>
        <w:tc>
          <w:tcPr>
            <w:tcW w:w="873" w:type="dxa"/>
            <w:vMerge w:val="restart"/>
            <w:tcBorders>
              <w:top w:val="single" w:sz="4" w:space="0" w:color="auto"/>
              <w:bottom w:val="single" w:sz="4" w:space="0" w:color="auto"/>
            </w:tcBorders>
            <w:vAlign w:val="center"/>
          </w:tcPr>
          <w:p>
            <w:pPr>
              <w:widowControl/>
              <w:kinsoku w:val="0"/>
              <w:autoSpaceDE w:val="0"/>
              <w:autoSpaceDN w:val="0"/>
              <w:snapToGrid w:val="0"/>
              <w:ind w:left="213"/>
              <w:textAlignment w:val="baseline"/>
              <w:rPr>
                <w:rFonts w:ascii="宋体" w:cs="宋体"/>
                <w:b/>
                <w:bCs/>
                <w:szCs w:val="21"/>
              </w:rPr>
            </w:pPr>
            <w:r>
              <w:rPr>
                <w:rFonts w:ascii="宋体" w:cs="宋体" w:hint="eastAsia"/>
                <w:b/>
                <w:bCs/>
                <w:spacing w:val="-3"/>
                <w:szCs w:val="21"/>
              </w:rPr>
              <w:t>投</w:t>
            </w:r>
            <w:r>
              <w:rPr>
                <w:rFonts w:ascii="宋体" w:cs="宋体" w:hint="eastAsia"/>
                <w:b/>
                <w:bCs/>
                <w:spacing w:val="-2"/>
                <w:szCs w:val="21"/>
              </w:rPr>
              <w:t>诉</w:t>
            </w:r>
          </w:p>
          <w:p>
            <w:pPr>
              <w:widowControl/>
              <w:kinsoku w:val="0"/>
              <w:autoSpaceDE w:val="0"/>
              <w:autoSpaceDN w:val="0"/>
              <w:snapToGrid w:val="0"/>
              <w:ind w:left="208"/>
              <w:textAlignment w:val="baseline"/>
              <w:rPr>
                <w:rFonts w:ascii="宋体" w:cs="宋体"/>
                <w:b/>
                <w:bCs/>
                <w:szCs w:val="21"/>
              </w:rPr>
            </w:pPr>
            <w:r>
              <w:rPr>
                <w:rFonts w:ascii="宋体" w:cs="宋体" w:hint="eastAsia"/>
                <w:b/>
                <w:bCs/>
                <w:spacing w:val="-2"/>
                <w:szCs w:val="21"/>
              </w:rPr>
              <w:t>检</w:t>
            </w:r>
            <w:r>
              <w:rPr>
                <w:rFonts w:ascii="宋体" w:cs="宋体" w:hint="eastAsia"/>
                <w:b/>
                <w:bCs/>
                <w:spacing w:val="-1"/>
                <w:szCs w:val="21"/>
              </w:rPr>
              <w:t>查</w:t>
            </w:r>
          </w:p>
          <w:p>
            <w:pPr>
              <w:widowControl/>
              <w:kinsoku w:val="0"/>
              <w:autoSpaceDE w:val="0"/>
              <w:autoSpaceDN w:val="0"/>
              <w:snapToGrid w:val="0"/>
              <w:ind w:left="211"/>
              <w:textAlignment w:val="baseline"/>
              <w:rPr>
                <w:rFonts w:ascii="宋体" w:cs="宋体"/>
                <w:b/>
                <w:bCs/>
                <w:szCs w:val="21"/>
              </w:rPr>
            </w:pPr>
            <w:r>
              <w:rPr>
                <w:rFonts w:ascii="宋体" w:cs="宋体" w:hint="eastAsia"/>
                <w:b/>
                <w:bCs/>
                <w:spacing w:val="-2"/>
                <w:szCs w:val="21"/>
              </w:rPr>
              <w:t>整改</w:t>
            </w:r>
          </w:p>
        </w:tc>
        <w:tc>
          <w:tcPr>
            <w:tcW w:w="7791" w:type="dxa"/>
            <w:vAlign w:val="center"/>
          </w:tcPr>
          <w:p>
            <w:pPr>
              <w:widowControl/>
              <w:numPr>
                <w:ilvl w:val="0"/>
                <w:numId w:val="10"/>
              </w:numPr>
              <w:kinsoku w:val="0"/>
              <w:autoSpaceDE w:val="0"/>
              <w:autoSpaceDN w:val="0"/>
              <w:snapToGrid w:val="0"/>
              <w:ind w:left="0" w:firstLine="450"/>
              <w:textAlignment w:val="baseline"/>
              <w:rPr>
                <w:rFonts w:ascii="宋体" w:cs="宋体"/>
                <w:szCs w:val="21"/>
              </w:rPr>
            </w:pPr>
            <w:r>
              <w:rPr>
                <w:rFonts w:ascii="宋体" w:cs="宋体" w:hint="eastAsia"/>
                <w:spacing w:val="-8"/>
                <w:szCs w:val="21"/>
              </w:rPr>
              <w:t>建立完善</w:t>
            </w:r>
            <w:r>
              <w:rPr>
                <w:rFonts w:ascii="宋体" w:cs="宋体" w:hint="eastAsia"/>
                <w:spacing w:val="-5"/>
                <w:szCs w:val="21"/>
              </w:rPr>
              <w:t>的</w:t>
            </w:r>
            <w:r>
              <w:rPr>
                <w:rFonts w:ascii="宋体" w:cs="宋体" w:hint="eastAsia"/>
                <w:spacing w:val="-4"/>
                <w:szCs w:val="21"/>
              </w:rPr>
              <w:t>投诉响应机制， 并能妥善处理各类投诉及建议，给予投诉</w:t>
            </w:r>
            <w:r>
              <w:rPr>
                <w:rFonts w:ascii="宋体" w:cs="宋体" w:hint="eastAsia"/>
                <w:spacing w:val="-8"/>
                <w:szCs w:val="21"/>
              </w:rPr>
              <w:t>答复。</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2</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restart"/>
            <w:vAlign w:val="center"/>
          </w:tcPr>
          <w:p>
            <w:pPr>
              <w:spacing w:before="143"/>
              <w:ind w:right="109" w:firstLine="474"/>
              <w:jc w:val="left"/>
              <w:rPr>
                <w:rFonts w:ascii="宋体" w:cs="宋体"/>
                <w:szCs w:val="21"/>
              </w:rPr>
            </w:pPr>
            <w:r>
              <w:rPr>
                <w:rFonts w:ascii="宋体" w:cs="宋体" w:hint="eastAsia"/>
                <w:spacing w:val="-2"/>
                <w:szCs w:val="21"/>
              </w:rPr>
              <w:t>①</w:t>
            </w:r>
            <w:r>
              <w:rPr>
                <w:rFonts w:ascii="宋体" w:cs="宋体" w:hint="eastAsia"/>
                <w:spacing w:val="-1"/>
                <w:szCs w:val="21"/>
              </w:rPr>
              <w:t>投诉事件经认定属实，未妥善</w:t>
            </w:r>
            <w:r>
              <w:rPr>
                <w:rFonts w:ascii="宋体" w:cs="宋体" w:hint="eastAsia"/>
                <w:spacing w:val="-17"/>
                <w:szCs w:val="21"/>
              </w:rPr>
              <w:t>处</w:t>
            </w:r>
            <w:r>
              <w:rPr>
                <w:rFonts w:ascii="宋体" w:cs="宋体" w:hint="eastAsia"/>
                <w:spacing w:val="-12"/>
                <w:szCs w:val="21"/>
              </w:rPr>
              <w:t>理或未答复， 扣 1 分。</w:t>
            </w:r>
          </w:p>
          <w:p>
            <w:pPr>
              <w:widowControl/>
              <w:kinsoku w:val="0"/>
              <w:autoSpaceDE w:val="0"/>
              <w:autoSpaceDN w:val="0"/>
              <w:snapToGrid w:val="0"/>
              <w:ind w:firstLine="426"/>
              <w:textAlignment w:val="baseline"/>
              <w:rPr>
                <w:rFonts w:ascii="宋体" w:cs="宋体"/>
                <w:szCs w:val="21"/>
              </w:rPr>
            </w:pPr>
            <w:r>
              <w:rPr>
                <w:rFonts w:ascii="宋体" w:cs="宋体" w:hint="eastAsia"/>
                <w:spacing w:val="-14"/>
                <w:szCs w:val="21"/>
              </w:rPr>
              <w:t>②符合得2分，基本符合得 1 分</w:t>
            </w:r>
            <w:r>
              <w:rPr>
                <w:rFonts w:ascii="宋体" w:cs="宋体" w:hint="eastAsia"/>
                <w:spacing w:val="-11"/>
                <w:szCs w:val="21"/>
              </w:rPr>
              <w:t>，</w:t>
            </w:r>
            <w:r>
              <w:rPr>
                <w:rFonts w:ascii="宋体" w:cs="宋体" w:hint="eastAsia"/>
                <w:szCs w:val="21"/>
              </w:rPr>
              <w:t xml:space="preserve"> </w:t>
            </w:r>
            <w:r>
              <w:rPr>
                <w:rFonts w:ascii="宋体" w:cs="宋体" w:hint="eastAsia"/>
                <w:spacing w:val="-10"/>
                <w:szCs w:val="21"/>
              </w:rPr>
              <w:t>不</w:t>
            </w:r>
            <w:r>
              <w:rPr>
                <w:rFonts w:ascii="宋体" w:cs="宋体" w:hint="eastAsia"/>
                <w:spacing w:val="-6"/>
                <w:szCs w:val="21"/>
              </w:rPr>
              <w:t>符</w:t>
            </w:r>
            <w:r>
              <w:rPr>
                <w:rFonts w:ascii="宋体" w:cs="宋体" w:hint="eastAsia"/>
                <w:spacing w:val="-5"/>
                <w:szCs w:val="21"/>
              </w:rPr>
              <w:t>合得 0 分</w:t>
            </w:r>
          </w:p>
        </w:tc>
      </w:tr>
      <w:tr>
        <w:trPr>
          <w:trHeight w:val="482"/>
          <w:tblHeader/>
        </w:trPr>
        <w:tc>
          <w:tcPr>
            <w:tcW w:w="720" w:type="dxa"/>
            <w:vMerge/>
            <w:tcBorders>
              <w:top w:val="single" w:sz="4" w:space="0" w:color="auto"/>
              <w:left w:val="single" w:sz="6" w:space="0" w:color="000000"/>
              <w:bottom w:val="single" w:sz="4" w:space="0" w:color="auto"/>
            </w:tcBorders>
            <w:vAlign w:val="center"/>
          </w:tcPr>
          <w:p/>
        </w:tc>
        <w:tc>
          <w:tcPr>
            <w:tcW w:w="873" w:type="dxa"/>
            <w:vMerge/>
            <w:tcBorders>
              <w:top w:val="single" w:sz="4" w:space="0" w:color="auto"/>
              <w:bottom w:val="single" w:sz="4" w:space="0" w:color="auto"/>
            </w:tcBorders>
            <w:vAlign w:val="center"/>
          </w:tcPr>
          <w:p/>
        </w:tc>
        <w:tc>
          <w:tcPr>
            <w:tcW w:w="7791" w:type="dxa"/>
            <w:vAlign w:val="center"/>
          </w:tcPr>
          <w:p>
            <w:pPr>
              <w:widowControl/>
              <w:numPr>
                <w:ilvl w:val="0"/>
                <w:numId w:val="10"/>
              </w:numPr>
              <w:kinsoku w:val="0"/>
              <w:autoSpaceDE w:val="0"/>
              <w:autoSpaceDN w:val="0"/>
              <w:snapToGrid w:val="0"/>
              <w:ind w:left="0" w:firstLine="478"/>
              <w:textAlignment w:val="baseline"/>
              <w:rPr>
                <w:rFonts w:ascii="宋体" w:cs="宋体"/>
                <w:szCs w:val="21"/>
              </w:rPr>
            </w:pPr>
            <w:r>
              <w:rPr>
                <w:rFonts w:ascii="宋体" w:cs="宋体" w:hint="eastAsia"/>
                <w:spacing w:val="-1"/>
                <w:szCs w:val="21"/>
              </w:rPr>
              <w:t>检查整改有效落</w:t>
            </w:r>
            <w:r>
              <w:rPr>
                <w:rFonts w:ascii="宋体" w:cs="宋体" w:hint="eastAsia"/>
                <w:szCs w:val="21"/>
              </w:rPr>
              <w:t>实。</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2</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ign w:val="center"/>
          </w:tcPr>
          <w:p/>
        </w:tc>
      </w:tr>
      <w:tr>
        <w:trPr>
          <w:trHeight w:val="482"/>
          <w:tblHeader/>
        </w:trPr>
        <w:tc>
          <w:tcPr>
            <w:tcW w:w="720" w:type="dxa"/>
            <w:vMerge/>
            <w:tcBorders>
              <w:top w:val="single" w:sz="4" w:space="0" w:color="auto"/>
              <w:left w:val="single" w:sz="6" w:space="0" w:color="000000"/>
              <w:bottom w:val="single" w:sz="4" w:space="0" w:color="auto"/>
            </w:tcBorders>
            <w:vAlign w:val="center"/>
          </w:tcPr>
          <w:p/>
        </w:tc>
        <w:tc>
          <w:tcPr>
            <w:tcW w:w="873" w:type="dxa"/>
            <w:vMerge/>
            <w:tcBorders>
              <w:top w:val="single" w:sz="4" w:space="0" w:color="auto"/>
              <w:bottom w:val="single" w:sz="4" w:space="0" w:color="auto"/>
            </w:tcBorders>
            <w:vAlign w:val="center"/>
          </w:tcPr>
          <w:p/>
        </w:tc>
        <w:tc>
          <w:tcPr>
            <w:tcW w:w="7791" w:type="dxa"/>
            <w:vAlign w:val="center"/>
          </w:tcPr>
          <w:p>
            <w:pPr>
              <w:widowControl/>
              <w:numPr>
                <w:ilvl w:val="0"/>
                <w:numId w:val="10"/>
              </w:numPr>
              <w:kinsoku w:val="0"/>
              <w:autoSpaceDE w:val="0"/>
              <w:autoSpaceDN w:val="0"/>
              <w:snapToGrid w:val="0"/>
              <w:ind w:left="0" w:firstLine="474"/>
              <w:textAlignment w:val="baseline"/>
              <w:rPr>
                <w:rFonts w:ascii="宋体" w:cs="宋体"/>
                <w:szCs w:val="21"/>
              </w:rPr>
            </w:pPr>
            <w:r>
              <w:rPr>
                <w:rFonts w:ascii="宋体" w:cs="宋体" w:hint="eastAsia"/>
                <w:spacing w:val="-2"/>
                <w:szCs w:val="21"/>
              </w:rPr>
              <w:t>无其它</w:t>
            </w:r>
            <w:r>
              <w:rPr>
                <w:rFonts w:ascii="宋体" w:cs="宋体" w:hint="eastAsia"/>
                <w:spacing w:val="-1"/>
                <w:szCs w:val="21"/>
              </w:rPr>
              <w:t>违反采购人相关规定之事项。</w:t>
            </w:r>
          </w:p>
        </w:tc>
        <w:tc>
          <w:tcPr>
            <w:tcW w:w="834" w:type="dxa"/>
            <w:vAlign w:val="center"/>
          </w:tcPr>
          <w:p>
            <w:pPr>
              <w:widowControl/>
              <w:kinsoku w:val="0"/>
              <w:autoSpaceDE w:val="0"/>
              <w:autoSpaceDN w:val="0"/>
              <w:snapToGrid w:val="0"/>
              <w:ind w:left="432"/>
              <w:textAlignment w:val="baseline"/>
              <w:rPr>
                <w:rFonts w:ascii="宋体" w:cs="宋体"/>
                <w:szCs w:val="21"/>
              </w:rPr>
            </w:pPr>
            <w:r>
              <w:rPr>
                <w:rFonts w:ascii="宋体" w:cs="宋体" w:hint="eastAsia"/>
                <w:szCs w:val="21"/>
              </w:rPr>
              <w:t>2</w:t>
            </w:r>
          </w:p>
        </w:tc>
        <w:tc>
          <w:tcPr>
            <w:tcW w:w="1107" w:type="dxa"/>
            <w:vAlign w:val="center"/>
          </w:tcPr>
          <w:p>
            <w:pPr>
              <w:widowControl/>
              <w:kinsoku w:val="0"/>
              <w:autoSpaceDE w:val="0"/>
              <w:autoSpaceDN w:val="0"/>
              <w:snapToGrid w:val="0"/>
              <w:textAlignment w:val="baseline"/>
              <w:rPr>
                <w:rFonts w:ascii="宋体" w:cs="宋体"/>
                <w:szCs w:val="21"/>
              </w:rPr>
            </w:pPr>
          </w:p>
        </w:tc>
        <w:tc>
          <w:tcPr>
            <w:tcW w:w="3309" w:type="dxa"/>
            <w:gridSpan w:val="2"/>
            <w:vMerge/>
            <w:vAlign w:val="center"/>
          </w:tcPr>
          <w:p/>
        </w:tc>
      </w:tr>
      <w:tr>
        <w:trPr>
          <w:trHeight w:val="1960"/>
          <w:tblHeader/>
        </w:trPr>
        <w:tc>
          <w:tcPr>
            <w:tcW w:w="720" w:type="dxa"/>
            <w:tcBorders>
              <w:top w:val="single" w:sz="4" w:space="0" w:color="auto"/>
              <w:left w:val="single" w:sz="6" w:space="0" w:color="000000"/>
            </w:tcBorders>
            <w:vAlign w:val="center"/>
          </w:tcPr>
          <w:p>
            <w:pPr>
              <w:widowControl/>
              <w:kinsoku w:val="0"/>
              <w:autoSpaceDE w:val="0"/>
              <w:autoSpaceDN w:val="0"/>
              <w:snapToGrid w:val="0"/>
              <w:ind w:left="303"/>
              <w:jc w:val="center"/>
              <w:textAlignment w:val="baseline"/>
              <w:rPr>
                <w:rFonts w:ascii="宋体" w:cs="宋体"/>
                <w:szCs w:val="21"/>
              </w:rPr>
            </w:pPr>
            <w:r>
              <w:rPr>
                <w:rFonts w:ascii="宋体" w:cs="宋体" w:hint="eastAsia"/>
                <w:szCs w:val="21"/>
              </w:rPr>
              <w:t>9</w:t>
            </w:r>
          </w:p>
        </w:tc>
        <w:tc>
          <w:tcPr>
            <w:tcW w:w="873" w:type="dxa"/>
            <w:tcBorders>
              <w:top w:val="single" w:sz="4" w:space="0" w:color="auto"/>
            </w:tcBorders>
            <w:vAlign w:val="center"/>
          </w:tcPr>
          <w:p>
            <w:pPr>
              <w:widowControl/>
              <w:kinsoku w:val="0"/>
              <w:autoSpaceDE w:val="0"/>
              <w:autoSpaceDN w:val="0"/>
              <w:snapToGrid w:val="0"/>
              <w:ind w:left="316"/>
              <w:jc w:val="center"/>
              <w:textAlignment w:val="baseline"/>
              <w:rPr>
                <w:rFonts w:ascii="宋体" w:cs="宋体"/>
                <w:b/>
                <w:bCs/>
                <w:szCs w:val="21"/>
              </w:rPr>
            </w:pPr>
            <w:r>
              <w:rPr>
                <w:rFonts w:ascii="宋体" w:cs="宋体" w:hint="eastAsia"/>
                <w:b/>
                <w:bCs/>
                <w:szCs w:val="21"/>
              </w:rPr>
              <w:t>会务服务</w:t>
            </w:r>
          </w:p>
        </w:tc>
        <w:tc>
          <w:tcPr>
            <w:tcW w:w="7791" w:type="dxa"/>
            <w:vAlign w:val="center"/>
          </w:tcPr>
          <w:p>
            <w:pPr>
              <w:snapToGrid w:val="0"/>
              <w:ind w:firstLineChars="200" w:firstLine="420"/>
              <w:rPr>
                <w:rFonts w:ascii="新宋体" w:eastAsia="新宋体" w:cs="新宋体"/>
                <w:szCs w:val="21"/>
              </w:rPr>
            </w:pPr>
            <w:r>
              <w:rPr>
                <w:rFonts w:ascii="新宋体" w:eastAsia="新宋体" w:cs="新宋体"/>
                <w:szCs w:val="21"/>
              </w:rPr>
              <w:t>（1）根据会议安排及采购人要求，确定台形，做好会议物品摆放、设备调试、会议资料发放等会前服务准备工作。</w:t>
            </w:r>
          </w:p>
          <w:p>
            <w:pPr>
              <w:snapToGrid w:val="0"/>
              <w:ind w:firstLineChars="200" w:firstLine="420"/>
              <w:rPr>
                <w:rFonts w:ascii="新宋体" w:eastAsia="新宋体" w:cs="新宋体"/>
                <w:szCs w:val="21"/>
              </w:rPr>
            </w:pPr>
            <w:r>
              <w:rPr>
                <w:rFonts w:ascii="新宋体" w:eastAsia="新宋体" w:cs="新宋体"/>
                <w:szCs w:val="21"/>
              </w:rPr>
              <w:t>（2）会议期间定时倒水，根据需要为与会人员提供服务，会议设备如出现问题及时协调处理。</w:t>
            </w:r>
          </w:p>
          <w:p>
            <w:pPr>
              <w:snapToGrid w:val="0"/>
              <w:ind w:firstLineChars="200" w:firstLine="420"/>
              <w:rPr>
                <w:rFonts w:ascii="新宋体" w:eastAsia="新宋体" w:cs="新宋体"/>
                <w:szCs w:val="21"/>
              </w:rPr>
            </w:pPr>
            <w:r>
              <w:rPr>
                <w:rFonts w:ascii="新宋体" w:eastAsia="新宋体" w:cs="新宋体"/>
                <w:szCs w:val="21"/>
              </w:rPr>
              <w:t>（3）会议结束后做好会议物品整理，茶具清洗、消毒，会议场地清扫，设施设备清点、检查、记录等会后服务。</w:t>
            </w:r>
          </w:p>
          <w:p>
            <w:pPr>
              <w:snapToGrid w:val="0"/>
              <w:ind w:firstLineChars="200" w:firstLine="420"/>
              <w:rPr>
                <w:rFonts w:ascii="宋体" w:cs="宋体"/>
                <w:spacing w:val="-1"/>
                <w:szCs w:val="21"/>
              </w:rPr>
            </w:pPr>
            <w:r>
              <w:rPr>
                <w:rFonts w:ascii="新宋体" w:eastAsia="新宋体" w:cs="新宋体"/>
                <w:szCs w:val="21"/>
              </w:rPr>
              <w:t>（4）对会议服务期间接触的会议信息、会议资料应严格保密。</w:t>
            </w:r>
          </w:p>
        </w:tc>
        <w:tc>
          <w:tcPr>
            <w:tcW w:w="834" w:type="dxa"/>
            <w:vAlign w:val="center"/>
          </w:tcPr>
          <w:p>
            <w:pPr>
              <w:tabs>
                <w:tab w:val="left" w:pos="6229"/>
              </w:tabs>
              <w:jc w:val="center"/>
              <w:rPr>
                <w:rFonts w:ascii="宋体" w:cs="宋体"/>
                <w:snapToGrid w:val="0"/>
                <w:kern w:val="0"/>
                <w:szCs w:val="21"/>
              </w:rPr>
            </w:pPr>
            <w:r>
              <w:rPr>
                <w:rFonts w:ascii="宋体" w:cs="宋体" w:hint="eastAsia"/>
                <w:snapToGrid w:val="0"/>
                <w:kern w:val="0"/>
                <w:szCs w:val="21"/>
              </w:rPr>
              <w:t>4</w:t>
            </w:r>
          </w:p>
        </w:tc>
        <w:tc>
          <w:tcPr>
            <w:tcW w:w="1107" w:type="dxa"/>
            <w:vAlign w:val="center"/>
          </w:tcPr>
          <w:p>
            <w:pPr>
              <w:tabs>
                <w:tab w:val="left" w:pos="6229"/>
              </w:tabs>
              <w:jc w:val="center"/>
              <w:rPr>
                <w:rFonts w:ascii="宋体" w:cs="宋体"/>
                <w:snapToGrid w:val="0"/>
                <w:kern w:val="0"/>
                <w:szCs w:val="21"/>
              </w:rPr>
            </w:pPr>
          </w:p>
        </w:tc>
        <w:tc>
          <w:tcPr>
            <w:tcW w:w="3309" w:type="dxa"/>
            <w:gridSpan w:val="2"/>
            <w:vAlign w:val="center"/>
          </w:tcPr>
          <w:p>
            <w:pPr>
              <w:widowControl/>
              <w:kinsoku w:val="0"/>
              <w:autoSpaceDE w:val="0"/>
              <w:autoSpaceDN w:val="0"/>
              <w:snapToGrid w:val="0"/>
              <w:ind w:firstLine="478"/>
              <w:textAlignment w:val="baseline"/>
              <w:rPr>
                <w:rFonts w:ascii="宋体" w:cs="宋体"/>
                <w:spacing w:val="-1"/>
                <w:szCs w:val="21"/>
              </w:rPr>
            </w:pPr>
            <w:r>
              <w:rPr>
                <w:rFonts w:ascii="宋体" w:cs="宋体" w:hint="eastAsia"/>
                <w:spacing w:val="-1"/>
                <w:szCs w:val="21"/>
              </w:rPr>
              <w:t>完全符合得</w:t>
            </w:r>
            <w:r>
              <w:rPr>
                <w:rFonts w:ascii="宋体" w:cs="宋体" w:hint="eastAsia"/>
                <w:szCs w:val="21"/>
              </w:rPr>
              <w:t>满分，</w:t>
            </w:r>
            <w:r>
              <w:rPr>
                <w:rFonts w:ascii="宋体" w:cs="宋体" w:hint="eastAsia"/>
                <w:spacing w:val="-1"/>
                <w:szCs w:val="21"/>
              </w:rPr>
              <w:t>部分符合相应</w:t>
            </w:r>
          </w:p>
          <w:p>
            <w:pPr>
              <w:widowControl/>
              <w:kinsoku w:val="0"/>
              <w:autoSpaceDE w:val="0"/>
              <w:autoSpaceDN w:val="0"/>
              <w:snapToGrid w:val="0"/>
              <w:ind w:firstLine="478"/>
              <w:textAlignment w:val="baseline"/>
            </w:pPr>
            <w:r>
              <w:rPr>
                <w:rFonts w:ascii="宋体" w:cs="宋体" w:hint="eastAsia"/>
                <w:spacing w:val="-1"/>
                <w:szCs w:val="21"/>
              </w:rPr>
              <w:t>递减， 不符合得 0 分</w:t>
            </w:r>
          </w:p>
        </w:tc>
      </w:tr>
      <w:tr>
        <w:trPr>
          <w:trHeight w:val="482"/>
          <w:tblHeader/>
        </w:trPr>
        <w:tc>
          <w:tcPr>
            <w:tcW w:w="720" w:type="dxa"/>
            <w:tcBorders>
              <w:top w:val="single" w:sz="4" w:space="0" w:color="auto"/>
              <w:left w:val="single" w:sz="6" w:space="0" w:color="000000"/>
            </w:tcBorders>
            <w:vAlign w:val="center"/>
          </w:tcPr>
          <w:p>
            <w:pPr>
              <w:widowControl/>
              <w:kinsoku w:val="0"/>
              <w:autoSpaceDE w:val="0"/>
              <w:autoSpaceDN w:val="0"/>
              <w:snapToGrid w:val="0"/>
              <w:ind w:left="303"/>
              <w:jc w:val="center"/>
              <w:textAlignment w:val="baseline"/>
              <w:rPr>
                <w:rFonts w:ascii="宋体" w:cs="宋体"/>
                <w:szCs w:val="21"/>
              </w:rPr>
            </w:pPr>
            <w:r>
              <w:rPr>
                <w:rFonts w:ascii="宋体" w:cs="宋体" w:hint="eastAsia"/>
                <w:szCs w:val="21"/>
              </w:rPr>
              <w:t>10</w:t>
            </w:r>
          </w:p>
        </w:tc>
        <w:tc>
          <w:tcPr>
            <w:tcW w:w="873" w:type="dxa"/>
            <w:tcBorders>
              <w:top w:val="single" w:sz="4" w:space="0" w:color="auto"/>
            </w:tcBorders>
            <w:vAlign w:val="center"/>
          </w:tcPr>
          <w:p>
            <w:pPr>
              <w:widowControl/>
              <w:kinsoku w:val="0"/>
              <w:autoSpaceDE w:val="0"/>
              <w:autoSpaceDN w:val="0"/>
              <w:snapToGrid w:val="0"/>
              <w:jc w:val="center"/>
              <w:textAlignment w:val="baseline"/>
              <w:rPr>
                <w:rFonts w:ascii="宋体" w:cs="宋体"/>
                <w:b/>
                <w:bCs/>
                <w:szCs w:val="21"/>
              </w:rPr>
            </w:pPr>
            <w:r>
              <w:rPr>
                <w:rFonts w:ascii="宋体" w:cs="宋体" w:hint="eastAsia"/>
                <w:b/>
                <w:bCs/>
                <w:szCs w:val="21"/>
              </w:rPr>
              <w:t>加分项</w:t>
            </w:r>
          </w:p>
        </w:tc>
        <w:tc>
          <w:tcPr>
            <w:tcW w:w="9732" w:type="dxa"/>
            <w:gridSpan w:val="3"/>
            <w:vAlign w:val="center"/>
          </w:tcPr>
          <w:p>
            <w:pPr>
              <w:snapToGrid w:val="0"/>
              <w:ind w:firstLineChars="200" w:firstLine="420"/>
              <w:rPr>
                <w:rFonts w:ascii="新宋体" w:eastAsia="新宋体" w:cs="新宋体"/>
                <w:szCs w:val="21"/>
              </w:rPr>
            </w:pPr>
            <w:r>
              <w:rPr>
                <w:rFonts w:ascii="新宋体" w:eastAsia="新宋体" w:cs="新宋体" w:hint="eastAsia"/>
                <w:szCs w:val="21"/>
              </w:rPr>
              <w:t>（1）服务工作表现优秀（例：得到关领导的认可或表扬，需在正式场合当众表扬或向中心领导反映）</w:t>
            </w:r>
          </w:p>
        </w:tc>
        <w:tc>
          <w:tcPr>
            <w:tcW w:w="3309" w:type="dxa"/>
            <w:gridSpan w:val="2"/>
            <w:vAlign w:val="center"/>
          </w:tcPr>
          <w:p>
            <w:pPr>
              <w:snapToGrid w:val="0"/>
              <w:ind w:firstLineChars="200" w:firstLine="420"/>
              <w:rPr>
                <w:rFonts w:ascii="新宋体" w:eastAsia="新宋体" w:cs="新宋体"/>
                <w:szCs w:val="21"/>
              </w:rPr>
            </w:pPr>
            <w:r>
              <w:rPr>
                <w:rFonts w:ascii="新宋体" w:eastAsia="新宋体" w:cs="新宋体" w:hint="eastAsia"/>
                <w:szCs w:val="21"/>
              </w:rPr>
              <w:t>1-5分</w:t>
            </w:r>
          </w:p>
        </w:tc>
      </w:tr>
      <w:tr>
        <w:trPr>
          <w:trHeight w:val="482"/>
          <w:tblHeader/>
        </w:trPr>
        <w:tc>
          <w:tcPr>
            <w:tcW w:w="720" w:type="dxa"/>
            <w:tcBorders>
              <w:left w:val="single" w:sz="6" w:space="0" w:color="000000"/>
            </w:tcBorders>
            <w:vAlign w:val="center"/>
          </w:tcPr>
          <w:p>
            <w:pPr>
              <w:widowControl/>
              <w:kinsoku w:val="0"/>
              <w:autoSpaceDE w:val="0"/>
              <w:autoSpaceDN w:val="0"/>
              <w:snapToGrid w:val="0"/>
              <w:ind w:left="303"/>
              <w:jc w:val="center"/>
              <w:textAlignment w:val="baseline"/>
              <w:rPr>
                <w:rFonts w:ascii="宋体" w:cs="宋体"/>
                <w:szCs w:val="21"/>
              </w:rPr>
            </w:pPr>
            <w:r>
              <w:rPr>
                <w:rFonts w:ascii="宋体" w:cs="宋体" w:hint="eastAsia"/>
                <w:szCs w:val="21"/>
              </w:rPr>
              <w:t>11</w:t>
            </w:r>
          </w:p>
        </w:tc>
        <w:tc>
          <w:tcPr>
            <w:tcW w:w="873" w:type="dxa"/>
            <w:vAlign w:val="center"/>
          </w:tcPr>
          <w:p>
            <w:pPr>
              <w:widowControl/>
              <w:kinsoku w:val="0"/>
              <w:autoSpaceDE w:val="0"/>
              <w:autoSpaceDN w:val="0"/>
              <w:snapToGrid w:val="0"/>
              <w:ind w:firstLineChars="100" w:firstLine="210"/>
              <w:jc w:val="left"/>
              <w:textAlignment w:val="baseline"/>
              <w:rPr>
                <w:rFonts w:ascii="宋体" w:cs="宋体"/>
                <w:b/>
                <w:bCs/>
                <w:szCs w:val="21"/>
              </w:rPr>
            </w:pPr>
            <w:r>
              <w:rPr>
                <w:rFonts w:ascii="宋体" w:cs="宋体" w:hint="eastAsia"/>
                <w:b/>
                <w:bCs/>
                <w:szCs w:val="21"/>
              </w:rPr>
              <w:t>加分项</w:t>
            </w:r>
          </w:p>
        </w:tc>
        <w:tc>
          <w:tcPr>
            <w:tcW w:w="9732" w:type="dxa"/>
            <w:gridSpan w:val="3"/>
            <w:vAlign w:val="center"/>
          </w:tcPr>
          <w:p>
            <w:pPr>
              <w:snapToGrid w:val="0"/>
              <w:ind w:firstLineChars="200" w:firstLine="420"/>
              <w:rPr>
                <w:rFonts w:ascii="新宋体" w:eastAsia="新宋体" w:cs="新宋体"/>
                <w:szCs w:val="21"/>
              </w:rPr>
            </w:pPr>
            <w:r>
              <w:rPr>
                <w:rFonts w:ascii="新宋体" w:eastAsia="新宋体" w:cs="新宋体" w:hint="eastAsia"/>
                <w:szCs w:val="21"/>
              </w:rPr>
              <w:t>（2）安全工作中表现优秀（例：主动排除安全隐患、重要检查中表现优秀等）。</w:t>
            </w:r>
          </w:p>
        </w:tc>
        <w:tc>
          <w:tcPr>
            <w:tcW w:w="3309" w:type="dxa"/>
            <w:gridSpan w:val="2"/>
            <w:vAlign w:val="center"/>
          </w:tcPr>
          <w:p>
            <w:pPr>
              <w:snapToGrid w:val="0"/>
              <w:ind w:firstLineChars="200" w:firstLine="420"/>
              <w:rPr>
                <w:rFonts w:ascii="新宋体" w:eastAsia="新宋体" w:cs="新宋体"/>
                <w:szCs w:val="21"/>
              </w:rPr>
            </w:pPr>
            <w:r>
              <w:rPr>
                <w:rFonts w:ascii="新宋体" w:eastAsia="新宋体" w:cs="新宋体" w:hint="eastAsia"/>
                <w:szCs w:val="21"/>
              </w:rPr>
              <w:t>1-5分</w:t>
            </w:r>
          </w:p>
        </w:tc>
      </w:tr>
      <w:tr>
        <w:trPr>
          <w:trHeight w:val="482"/>
          <w:tblHeader/>
        </w:trPr>
        <w:tc>
          <w:tcPr>
            <w:tcW w:w="720" w:type="dxa"/>
            <w:tcBorders>
              <w:left w:val="single" w:sz="6" w:space="0" w:color="000000"/>
            </w:tcBorders>
            <w:vAlign w:val="center"/>
          </w:tcPr>
          <w:p>
            <w:pPr>
              <w:widowControl/>
              <w:kinsoku w:val="0"/>
              <w:autoSpaceDE w:val="0"/>
              <w:autoSpaceDN w:val="0"/>
              <w:snapToGrid w:val="0"/>
              <w:ind w:left="303"/>
              <w:jc w:val="center"/>
              <w:textAlignment w:val="baseline"/>
              <w:rPr>
                <w:rFonts w:ascii="宋体" w:cs="宋体"/>
                <w:szCs w:val="21"/>
              </w:rPr>
            </w:pPr>
            <w:r>
              <w:rPr>
                <w:rFonts w:ascii="宋体" w:cs="宋体" w:hint="eastAsia"/>
                <w:szCs w:val="21"/>
              </w:rPr>
              <w:t>12</w:t>
            </w:r>
          </w:p>
        </w:tc>
        <w:tc>
          <w:tcPr>
            <w:tcW w:w="873" w:type="dxa"/>
            <w:vAlign w:val="center"/>
          </w:tcPr>
          <w:p>
            <w:pPr>
              <w:widowControl/>
              <w:kinsoku w:val="0"/>
              <w:autoSpaceDE w:val="0"/>
              <w:autoSpaceDN w:val="0"/>
              <w:snapToGrid w:val="0"/>
              <w:ind w:left="216"/>
              <w:jc w:val="left"/>
              <w:textAlignment w:val="baseline"/>
              <w:rPr>
                <w:rFonts w:ascii="宋体" w:cs="宋体"/>
                <w:b/>
                <w:bCs/>
                <w:spacing w:val="-3"/>
                <w:position w:val="9"/>
                <w:szCs w:val="21"/>
              </w:rPr>
            </w:pPr>
            <w:r>
              <w:rPr>
                <w:rFonts w:ascii="宋体" w:cs="宋体" w:hint="eastAsia"/>
                <w:b/>
                <w:bCs/>
                <w:szCs w:val="21"/>
              </w:rPr>
              <w:t>加分项</w:t>
            </w:r>
          </w:p>
        </w:tc>
        <w:tc>
          <w:tcPr>
            <w:tcW w:w="9732" w:type="dxa"/>
            <w:gridSpan w:val="3"/>
            <w:vAlign w:val="center"/>
          </w:tcPr>
          <w:p>
            <w:pPr>
              <w:snapToGrid w:val="0"/>
              <w:ind w:firstLineChars="200" w:firstLine="420"/>
              <w:rPr>
                <w:rFonts w:ascii="新宋体" w:eastAsia="新宋体" w:cs="新宋体"/>
                <w:szCs w:val="21"/>
              </w:rPr>
            </w:pPr>
            <w:r>
              <w:rPr>
                <w:rFonts w:ascii="新宋体" w:eastAsia="新宋体" w:cs="新宋体" w:hint="eastAsia"/>
                <w:szCs w:val="21"/>
              </w:rPr>
              <w:t>（3）管理层工作表现优秀（例：对现场工作改革提出优秀建议被采纳、优秀管理事迹被海关认可等）</w:t>
            </w:r>
          </w:p>
        </w:tc>
        <w:tc>
          <w:tcPr>
            <w:tcW w:w="3309" w:type="dxa"/>
            <w:gridSpan w:val="2"/>
            <w:vAlign w:val="center"/>
          </w:tcPr>
          <w:p>
            <w:pPr>
              <w:snapToGrid w:val="0"/>
              <w:ind w:firstLineChars="200" w:firstLine="420"/>
              <w:rPr>
                <w:rFonts w:ascii="新宋体" w:eastAsia="新宋体" w:cs="新宋体"/>
                <w:szCs w:val="21"/>
              </w:rPr>
            </w:pPr>
            <w:r>
              <w:rPr>
                <w:rFonts w:ascii="新宋体" w:eastAsia="新宋体" w:cs="新宋体" w:hint="eastAsia"/>
                <w:szCs w:val="21"/>
              </w:rPr>
              <w:t>1-5分</w:t>
            </w:r>
          </w:p>
        </w:tc>
      </w:tr>
      <w:tr>
        <w:trPr>
          <w:trHeight w:val="482"/>
          <w:tblHeader/>
        </w:trPr>
        <w:tc>
          <w:tcPr>
            <w:tcW w:w="720" w:type="dxa"/>
            <w:tcBorders>
              <w:left w:val="single" w:sz="6" w:space="0" w:color="000000"/>
            </w:tcBorders>
            <w:vAlign w:val="center"/>
          </w:tcPr>
          <w:p>
            <w:pPr>
              <w:widowControl/>
              <w:kinsoku w:val="0"/>
              <w:autoSpaceDE w:val="0"/>
              <w:autoSpaceDN w:val="0"/>
              <w:snapToGrid w:val="0"/>
              <w:ind w:left="303"/>
              <w:jc w:val="center"/>
              <w:textAlignment w:val="baseline"/>
              <w:rPr>
                <w:rFonts w:ascii="宋体" w:cs="宋体"/>
                <w:szCs w:val="21"/>
              </w:rPr>
            </w:pPr>
            <w:r>
              <w:rPr>
                <w:rFonts w:ascii="宋体" w:cs="宋体" w:hint="eastAsia"/>
                <w:szCs w:val="21"/>
              </w:rPr>
              <w:t>13</w:t>
            </w:r>
          </w:p>
        </w:tc>
        <w:tc>
          <w:tcPr>
            <w:tcW w:w="873" w:type="dxa"/>
            <w:vAlign w:val="center"/>
          </w:tcPr>
          <w:p>
            <w:pPr>
              <w:widowControl/>
              <w:kinsoku w:val="0"/>
              <w:autoSpaceDE w:val="0"/>
              <w:autoSpaceDN w:val="0"/>
              <w:snapToGrid w:val="0"/>
              <w:ind w:firstLineChars="100" w:firstLine="204"/>
              <w:jc w:val="left"/>
              <w:textAlignment w:val="baseline"/>
              <w:rPr>
                <w:rFonts w:ascii="宋体" w:cs="宋体"/>
                <w:b/>
                <w:bCs/>
                <w:spacing w:val="-3"/>
                <w:position w:val="9"/>
                <w:szCs w:val="21"/>
              </w:rPr>
            </w:pPr>
            <w:r>
              <w:rPr>
                <w:rFonts w:ascii="宋体" w:cs="宋体" w:hint="eastAsia"/>
                <w:b/>
                <w:bCs/>
                <w:spacing w:val="-3"/>
                <w:position w:val="9"/>
                <w:szCs w:val="21"/>
              </w:rPr>
              <w:t>扣分项</w:t>
            </w:r>
          </w:p>
        </w:tc>
        <w:tc>
          <w:tcPr>
            <w:tcW w:w="9732" w:type="dxa"/>
            <w:gridSpan w:val="3"/>
            <w:vAlign w:val="center"/>
          </w:tcPr>
          <w:p>
            <w:pPr>
              <w:numPr>
                <w:ilvl w:val="0"/>
                <w:numId w:val="11"/>
              </w:numPr>
              <w:snapToGrid w:val="0"/>
              <w:ind w:left="0" w:firstLineChars="200" w:firstLine="420"/>
              <w:rPr>
                <w:rFonts w:ascii="新宋体" w:eastAsia="新宋体" w:cs="新宋体"/>
                <w:szCs w:val="21"/>
              </w:rPr>
            </w:pPr>
            <w:r>
              <w:rPr>
                <w:rFonts w:ascii="新宋体" w:eastAsia="新宋体" w:cs="新宋体" w:hint="eastAsia"/>
                <w:szCs w:val="21"/>
              </w:rPr>
              <w:t>被省、市、区相关部门检查发现各类安全隐患问题并被通报批评。</w:t>
            </w:r>
          </w:p>
        </w:tc>
        <w:tc>
          <w:tcPr>
            <w:tcW w:w="3309" w:type="dxa"/>
            <w:gridSpan w:val="2"/>
            <w:vAlign w:val="center"/>
          </w:tcPr>
          <w:p>
            <w:pPr>
              <w:snapToGrid w:val="0"/>
              <w:ind w:firstLineChars="200" w:firstLine="420"/>
              <w:rPr>
                <w:rFonts w:ascii="新宋体" w:eastAsia="新宋体" w:cs="新宋体"/>
                <w:szCs w:val="21"/>
              </w:rPr>
            </w:pPr>
            <w:r>
              <w:rPr>
                <w:rFonts w:ascii="新宋体" w:eastAsia="新宋体" w:cs="新宋体" w:hint="eastAsia"/>
                <w:szCs w:val="21"/>
              </w:rPr>
              <w:t>5-10分</w:t>
            </w:r>
          </w:p>
        </w:tc>
      </w:tr>
      <w:tr>
        <w:trPr>
          <w:trHeight w:val="482"/>
          <w:tblHeader/>
        </w:trPr>
        <w:tc>
          <w:tcPr>
            <w:tcW w:w="720" w:type="dxa"/>
            <w:tcBorders>
              <w:left w:val="single" w:sz="6" w:space="0" w:color="000000"/>
            </w:tcBorders>
            <w:vAlign w:val="center"/>
          </w:tcPr>
          <w:p>
            <w:pPr>
              <w:widowControl/>
              <w:kinsoku w:val="0"/>
              <w:autoSpaceDE w:val="0"/>
              <w:autoSpaceDN w:val="0"/>
              <w:snapToGrid w:val="0"/>
              <w:ind w:left="303"/>
              <w:jc w:val="center"/>
              <w:textAlignment w:val="baseline"/>
              <w:rPr>
                <w:rFonts w:ascii="宋体" w:cs="宋体"/>
                <w:szCs w:val="21"/>
              </w:rPr>
            </w:pPr>
            <w:r>
              <w:rPr>
                <w:rFonts w:ascii="宋体" w:cs="宋体" w:hint="eastAsia"/>
                <w:szCs w:val="21"/>
              </w:rPr>
              <w:t>14</w:t>
            </w:r>
          </w:p>
        </w:tc>
        <w:tc>
          <w:tcPr>
            <w:tcW w:w="873" w:type="dxa"/>
            <w:vAlign w:val="center"/>
          </w:tcPr>
          <w:p>
            <w:pPr>
              <w:widowControl/>
              <w:kinsoku w:val="0"/>
              <w:autoSpaceDE w:val="0"/>
              <w:autoSpaceDN w:val="0"/>
              <w:snapToGrid w:val="0"/>
              <w:ind w:firstLineChars="100" w:firstLine="204"/>
              <w:jc w:val="left"/>
              <w:textAlignment w:val="baseline"/>
              <w:rPr>
                <w:rFonts w:ascii="宋体" w:cs="宋体"/>
                <w:b/>
                <w:bCs/>
                <w:szCs w:val="21"/>
              </w:rPr>
            </w:pPr>
            <w:r>
              <w:rPr>
                <w:rFonts w:ascii="宋体" w:cs="宋体" w:hint="eastAsia"/>
                <w:b/>
                <w:bCs/>
                <w:spacing w:val="-3"/>
                <w:position w:val="9"/>
                <w:szCs w:val="21"/>
              </w:rPr>
              <w:t>标准分</w:t>
            </w:r>
          </w:p>
        </w:tc>
        <w:tc>
          <w:tcPr>
            <w:tcW w:w="9732" w:type="dxa"/>
            <w:gridSpan w:val="3"/>
            <w:vAlign w:val="center"/>
          </w:tcPr>
          <w:p>
            <w:pPr>
              <w:widowControl/>
              <w:kinsoku w:val="0"/>
              <w:autoSpaceDE w:val="0"/>
              <w:autoSpaceDN w:val="0"/>
              <w:snapToGrid w:val="0"/>
              <w:jc w:val="center"/>
              <w:textAlignment w:val="baseline"/>
              <w:rPr>
                <w:rFonts w:ascii="宋体" w:cs="宋体"/>
                <w:szCs w:val="21"/>
              </w:rPr>
            </w:pPr>
            <w:r>
              <w:rPr>
                <w:rFonts w:ascii="宋体" w:cs="宋体" w:hint="eastAsia"/>
                <w:szCs w:val="21"/>
              </w:rPr>
              <w:t>100分</w:t>
            </w:r>
          </w:p>
        </w:tc>
        <w:tc>
          <w:tcPr>
            <w:tcW w:w="3309" w:type="dxa"/>
            <w:gridSpan w:val="2"/>
            <w:vAlign w:val="center"/>
          </w:tcPr>
          <w:p>
            <w:pPr>
              <w:widowControl/>
              <w:kinsoku w:val="0"/>
              <w:autoSpaceDE w:val="0"/>
              <w:autoSpaceDN w:val="0"/>
              <w:snapToGrid w:val="0"/>
              <w:textAlignment w:val="baseline"/>
              <w:rPr>
                <w:rFonts w:ascii="宋体" w:cs="宋体"/>
                <w:szCs w:val="21"/>
              </w:rPr>
            </w:pPr>
          </w:p>
        </w:tc>
      </w:tr>
      <w:tr>
        <w:trPr>
          <w:trHeight w:val="482"/>
          <w:tblHeader/>
        </w:trPr>
        <w:tc>
          <w:tcPr>
            <w:tcW w:w="720" w:type="dxa"/>
            <w:tcBorders>
              <w:left w:val="single" w:sz="6" w:space="0" w:color="000000"/>
            </w:tcBorders>
            <w:vAlign w:val="center"/>
          </w:tcPr>
          <w:p>
            <w:pPr>
              <w:widowControl/>
              <w:kinsoku w:val="0"/>
              <w:autoSpaceDE w:val="0"/>
              <w:autoSpaceDN w:val="0"/>
              <w:snapToGrid w:val="0"/>
              <w:ind w:left="303"/>
              <w:jc w:val="center"/>
              <w:textAlignment w:val="baseline"/>
              <w:rPr>
                <w:rFonts w:ascii="宋体" w:cs="宋体"/>
                <w:szCs w:val="21"/>
              </w:rPr>
            </w:pPr>
            <w:r>
              <w:rPr>
                <w:rFonts w:ascii="宋体" w:cs="宋体" w:hint="eastAsia"/>
                <w:szCs w:val="21"/>
              </w:rPr>
              <w:t>15</w:t>
            </w:r>
          </w:p>
        </w:tc>
        <w:tc>
          <w:tcPr>
            <w:tcW w:w="873" w:type="dxa"/>
            <w:vAlign w:val="center"/>
          </w:tcPr>
          <w:p>
            <w:pPr>
              <w:widowControl/>
              <w:kinsoku w:val="0"/>
              <w:autoSpaceDE w:val="0"/>
              <w:autoSpaceDN w:val="0"/>
              <w:snapToGrid w:val="0"/>
              <w:ind w:left="216"/>
              <w:jc w:val="left"/>
              <w:textAlignment w:val="baseline"/>
              <w:rPr>
                <w:rFonts w:ascii="宋体" w:cs="宋体"/>
                <w:b/>
                <w:bCs/>
                <w:spacing w:val="-3"/>
                <w:position w:val="9"/>
                <w:szCs w:val="21"/>
              </w:rPr>
            </w:pPr>
            <w:r>
              <w:rPr>
                <w:rFonts w:ascii="宋体" w:cs="宋体" w:hint="eastAsia"/>
                <w:b/>
                <w:bCs/>
                <w:spacing w:val="-3"/>
                <w:position w:val="9"/>
                <w:szCs w:val="21"/>
              </w:rPr>
              <w:t>总得分</w:t>
            </w:r>
          </w:p>
        </w:tc>
        <w:tc>
          <w:tcPr>
            <w:tcW w:w="9732" w:type="dxa"/>
            <w:gridSpan w:val="3"/>
            <w:vAlign w:val="center"/>
          </w:tcPr>
          <w:p>
            <w:pPr>
              <w:widowControl/>
              <w:kinsoku w:val="0"/>
              <w:autoSpaceDE w:val="0"/>
              <w:autoSpaceDN w:val="0"/>
              <w:snapToGrid w:val="0"/>
              <w:textAlignment w:val="baseline"/>
              <w:rPr>
                <w:rFonts w:ascii="宋体" w:cs="宋体"/>
                <w:szCs w:val="21"/>
              </w:rPr>
            </w:pPr>
          </w:p>
        </w:tc>
        <w:tc>
          <w:tcPr>
            <w:tcW w:w="3309" w:type="dxa"/>
            <w:gridSpan w:val="2"/>
            <w:vAlign w:val="center"/>
          </w:tcPr>
          <w:p>
            <w:pPr>
              <w:widowControl/>
              <w:kinsoku w:val="0"/>
              <w:autoSpaceDE w:val="0"/>
              <w:autoSpaceDN w:val="0"/>
              <w:snapToGrid w:val="0"/>
              <w:textAlignment w:val="baseline"/>
              <w:rPr>
                <w:rFonts w:ascii="宋体" w:cs="宋体"/>
                <w:szCs w:val="21"/>
              </w:rPr>
            </w:pPr>
          </w:p>
        </w:tc>
      </w:tr>
    </w:tbl>
    <w:p>
      <w:pPr>
        <w:spacing w:line="460" w:lineRule="exact"/>
        <w:ind w:firstLineChars="200" w:firstLine="480"/>
        <w:rPr>
          <w:rFonts w:ascii="宋体" w:eastAsia="宋体" w:cs="宋体"/>
          <w:sz w:val="24"/>
        </w:rPr>
      </w:pPr>
    </w:p>
    <w:p>
      <w:pPr>
        <w:spacing w:line="460" w:lineRule="exact"/>
        <w:ind w:firstLineChars="200" w:firstLine="480"/>
        <w:rPr>
          <w:rFonts w:ascii="宋体" w:eastAsia="宋体" w:cs="宋体"/>
          <w:sz w:val="24"/>
        </w:rPr>
      </w:pPr>
    </w:p>
    <w:p>
      <w:pPr>
        <w:spacing w:line="460" w:lineRule="exact"/>
        <w:ind w:firstLineChars="200" w:firstLine="480"/>
        <w:rPr>
          <w:rFonts w:eastAsia="宋体"/>
        </w:rPr>
      </w:pPr>
      <w:r>
        <w:rPr>
          <w:rFonts w:ascii="宋体" w:eastAsia="宋体" w:cs="宋体" w:hint="eastAsia"/>
          <w:b/>
          <w:bCs/>
          <w:sz w:val="24"/>
        </w:rPr>
        <w:t>注：1、采购人每6个月考核一次，项目考核总分为100分，考核得分85分以上的为合格，低于85分的不合格。</w:t>
      </w:r>
    </w:p>
    <w:p>
      <w:pPr>
        <w:spacing w:line="460" w:lineRule="exact"/>
        <w:ind w:firstLineChars="400" w:firstLine="960"/>
        <w:rPr>
          <w:rFonts w:ascii="宋体" w:eastAsia="宋体" w:cs="宋体"/>
          <w:b/>
          <w:bCs/>
          <w:sz w:val="24"/>
        </w:rPr>
      </w:pPr>
      <w:r>
        <w:rPr>
          <w:rFonts w:ascii="宋体" w:eastAsia="宋体" w:cs="宋体" w:hint="eastAsia"/>
          <w:b/>
          <w:bCs/>
          <w:sz w:val="24"/>
        </w:rPr>
        <w:t>2、若中标服务单位因违反招投标材料、物业服务合同约定，或因其他故意过失行为给采购人造成严重人身、财产损失或名誉损失的，予以一票否决，考核按0分计。</w:t>
      </w:r>
    </w:p>
    <w:p>
      <w:pPr>
        <w:pStyle w:val="2"/>
        <w:ind w:firstLine="640"/>
        <w:rPr>
          <w:rFonts w:eastAsia="宋体"/>
        </w:rPr>
        <w:sectPr>
          <w:pgSz w:w="16838" w:h="11906" w:orient="landscape"/>
          <w:pgMar w:top="1418" w:right="1134" w:bottom="1418" w:left="1134" w:header="851" w:footer="851" w:gutter="0"/>
          <w:titlePg/>
          <w:docGrid w:linePitch="312" w:charSpace="0"/>
        </w:sectPr>
      </w:pPr>
      <w:r>
        <w:rPr>
          <w:rFonts w:eastAsia="宋体" w:hint="eastAsia"/>
        </w:rPr>
        <w:t xml:space="preserve">  </w:t>
      </w:r>
    </w:p>
    <w:p>
      <w:pPr>
        <w:spacing w:line="460" w:lineRule="exact"/>
        <w:ind w:firstLineChars="200" w:firstLine="480"/>
        <w:rPr>
          <w:rFonts w:ascii="宋体" w:eastAsia="宋体"/>
          <w:sz w:val="24"/>
        </w:rPr>
      </w:pPr>
      <w:r>
        <w:rPr>
          <w:rFonts w:ascii="宋体" w:eastAsia="宋体" w:cs="宋体" w:hint="eastAsia"/>
          <w:b/>
          <w:bCs/>
          <w:sz w:val="24"/>
        </w:rPr>
        <w:t>六、服务期</w:t>
      </w:r>
      <w:r>
        <w:rPr>
          <w:rFonts w:ascii="宋体" w:eastAsia="宋体" w:cs="宋体" w:hint="eastAsia"/>
          <w:sz w:val="24"/>
        </w:rPr>
        <w:t>：2026年  月  日至 2027年  月  日，</w:t>
      </w:r>
      <w:r>
        <w:rPr>
          <w:rFonts w:ascii="宋体" w:eastAsia="宋体" w:hint="eastAsia"/>
          <w:sz w:val="24"/>
        </w:rPr>
        <w:t>服务期满经采购人考核合格（一年二次）的可以续签一年的服务合同（是否续签由甲方根据自身需求决定，本条不视为甲方承诺必然可以续签）。在合同期内供应商如考核不合格或发生严重违反合同约定的情形时，采购人有权提前终止合同。</w:t>
      </w:r>
    </w:p>
    <w:p>
      <w:pPr>
        <w:spacing w:line="460" w:lineRule="exact"/>
        <w:ind w:firstLineChars="200" w:firstLine="480"/>
        <w:rPr>
          <w:rFonts w:ascii="宋体" w:eastAsia="宋体" w:cs="宋体"/>
          <w:sz w:val="24"/>
        </w:rPr>
      </w:pPr>
      <w:r>
        <w:rPr>
          <w:rFonts w:ascii="宋体" w:eastAsia="宋体" w:cs="宋体" w:hint="eastAsia"/>
          <w:b/>
          <w:bCs/>
          <w:sz w:val="24"/>
        </w:rPr>
        <w:t>七、付款方式：</w:t>
      </w:r>
      <w:r>
        <w:rPr>
          <w:rFonts w:ascii="宋体" w:eastAsia="宋体" w:cs="宋体" w:hint="eastAsia"/>
          <w:sz w:val="24"/>
        </w:rPr>
        <w:t>合同签订后支付合同总金额的40%，项目实施半年经考核合格支付至合同总金额的70%，项目完成并经采购人年度考核合格后支付至合同总金额的100%；</w:t>
      </w:r>
    </w:p>
    <w:p>
      <w:pPr>
        <w:spacing w:line="460" w:lineRule="exact"/>
        <w:ind w:firstLineChars="200" w:firstLine="480"/>
        <w:rPr>
          <w:rFonts w:ascii="宋体" w:eastAsia="宋体" w:cs="宋体"/>
          <w:sz w:val="24"/>
        </w:rPr>
      </w:pPr>
      <w:r>
        <w:rPr>
          <w:rFonts w:ascii="宋体" w:eastAsia="宋体" w:cs="宋体" w:hint="eastAsia"/>
          <w:b/>
          <w:bCs/>
          <w:sz w:val="24"/>
        </w:rPr>
        <w:t>八、项目验收：</w:t>
      </w:r>
      <w:r>
        <w:rPr>
          <w:rFonts w:ascii="宋体" w:eastAsia="宋体" w:cs="宋体" w:hint="eastAsia"/>
          <w:sz w:val="24"/>
        </w:rPr>
        <w:t>由采购人组织。</w:t>
      </w:r>
    </w:p>
    <w:p>
      <w:pPr>
        <w:spacing w:line="460" w:lineRule="exact"/>
        <w:ind w:firstLineChars="200" w:firstLine="560"/>
        <w:rPr>
          <w:rFonts w:ascii="华文仿宋" w:eastAsia="华文仿宋" w:cs="华文仿宋"/>
          <w:b/>
          <w:bCs/>
          <w:sz w:val="28"/>
          <w:szCs w:val="28"/>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仿宋">
    <w:panose1 w:val="02010609060101010101"/>
    <w:charset w:val="86"/>
    <w:family w:val="modern"/>
    <w:pitch w:val="variable"/>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新宋体">
    <w:panose1 w:val="02010609030101010101"/>
    <w:charset w:val="86"/>
    <w:family w:val="modern"/>
    <w:pitch w:val="variable"/>
    <w:sig w:usb0="00000003" w:usb1="288F0000" w:usb2="00000006" w:usb3="00000000" w:csb0="00040001" w:csb1="00000000"/>
  </w:font>
  <w:font w:name="华文仿宋">
    <w:panose1 w:val="02010600040101010101"/>
    <w:charset w:val="86"/>
    <w:family w:val="auto"/>
    <w:pitch w:val="variable"/>
    <w:sig w:usb0="00000287" w:usb1="080F0000" w:usb2="00000000" w:usb3="00000000" w:csb0="0004009F" w:csb1="DFD7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9"/>
      <w:tabs>
        <w:tab w:val="center" w:pos="4153"/>
        <w:tab w:val="right" w:pos="8306"/>
      </w:tabs>
    </w:pPr>
    <w:r>
      <mc:AlternateContent>
        <mc:Choice Requires="wps">
          <w:drawing>
            <wp:anchor distT="0" distB="0" distL="101598" distR="101598" simplePos="0" relativeHeight="13" behindDoc="0" locked="0" layoutInCell="1" hidden="0" allowOverlap="1">
              <wp:simplePos x="0" y="0"/>
              <wp:positionH relativeFrom="margin">
                <wp:align>center</wp:align>
              </wp:positionH>
              <wp:positionV relativeFrom="paragraph">
                <wp:posOffset>0</wp:posOffset>
              </wp:positionV>
              <wp:extent cx="57950" cy="139674"/>
              <wp:effectExtent l="0" t="0" r="0" b="0"/>
              <wp:wrapNone/>
              <wp:docPr id="2" name="文本框 2"/>
              <wp:cNvGraphicFramePr>
                <a:graphicFrameLocks noChangeAspect="0"/>
              </wp:cNvGraphicFramePr>
              <a:graphic>
                <a:graphicData uri="http://schemas.microsoft.com/office/word/2010/wordprocessingShape">
                  <wps:wsp>
                    <wps:cNvSpPr/>
                    <wps:spPr>
                      <a:xfrm rot="0">
                        <a:off x="0" y="0"/>
                        <a:ext cx="57950" cy="139674"/>
                      </a:xfrm>
                      <a:prstGeom prst="rect"/>
                      <a:noFill/>
                      <a:ln w="9525" cmpd="sng" cap="flat">
                        <a:noFill/>
                        <a:prstDash val="solid"/>
                        <a:round/>
                      </a:ln>
                    </wps:spPr>
                    <wps:txbx id="3">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vert="horz" wrap="none" lIns="0" tIns="0" rIns="0" bIns="0" anchor="t" anchorCtr="0" upright="0">
                      <a:spAutoFit/>
                    </wps:bodyPr>
                  </wps:wsp>
                </a:graphicData>
              </a:graphic>
            </wp:anchor>
          </w:drawing>
        </mc:Choice>
        <mc:Fallback>
          <w:pict>
            <v:shape type="#_x0000_t202" id="文本框 2 4" o:spid="_x0000_s4" filled="f" stroked="f" style="position:absolute;margin-left:0.0pt;margin-top:0.0pt;width:4.563pt;height:10.99796pt;z-index:13;mso-position-horizontal:center;mso-position-horizontal-relative:margin;mso-position-vertical:absolute;mso-wrap-distance-left:7.999878pt;mso-wrap-distance-right:7.999878pt;mso-wrap-style:none;">
              <v:stroke color="#000000"/>
              <v:textbox id="848" inset="0mm,0mm,0mm,0mm" o:insetmode="custom" style="layout-flow:horizontal;v-text-anchor:top;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r>
      <w:tab/>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9"/>
      <w:framePr w:w="0" w:hRule="auto" w:wrap="around" w:vAnchor="text" w:hAnchor="margin" w:xAlign="center" w:y="1" w:anchorLock="0"/>
      <w:tabs>
        <w:tab w:val="center" w:pos="4153"/>
        <w:tab w:val="right" w:pos="8306"/>
      </w:tabs>
      <w:rPr>
        <w:rStyle w:val="24"/>
      </w:rPr>
    </w:pPr>
    <w:r>
      <w:rPr>
        <w:rStyle w:val="24"/>
      </w:rPr>
      <w:fldChar w:fldCharType="begin"/>
    </w:r>
    <w:r>
      <w:rPr>
        <w:rStyle w:val="24"/>
      </w:rPr>
      <w:instrText xml:space="preserve">PAGE  </w:instrText>
    </w:r>
    <w:r>
      <w:fldChar w:fldCharType="separate"/>
    </w:r>
    <w:r>
      <w:rPr>
        <w:rStyle w:val="24"/>
      </w:rPr>
      <w:t>7</w:t>
    </w:r>
    <w:r>
      <w:fldChar w:fldCharType="end"/>
    </w:r>
  </w:p>
  <w:p>
    <w:pPr>
      <w:pStyle w:val="19"/>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9"/>
      <w:tabs>
        <w:tab w:val="center" w:pos="4153"/>
        <w:tab w:val="right" w:pos="8306"/>
      </w:tabs>
    </w:pPr>
    <w:r>
      <mc:AlternateContent>
        <mc:Choice Requires="wps">
          <w:drawing>
            <wp:anchor distT="0" distB="0" distL="101598" distR="101598" simplePos="0" relativeHeight="14"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5" name="文本框 1"/>
              <wp:cNvGraphicFramePr>
                <a:graphicFrameLocks noChangeAspect="0"/>
              </wp:cNvGraphicFramePr>
              <a:graphic>
                <a:graphicData uri="http://schemas.microsoft.com/office/word/2010/wordprocessingShape">
                  <wps:wsp>
                    <wps:cNvSpPr/>
                    <wps:spPr>
                      <a:xfrm rot="0">
                        <a:off x="0" y="0"/>
                        <a:ext cx="115900" cy="139674"/>
                      </a:xfrm>
                      <a:prstGeom prst="rect"/>
                      <a:noFill/>
                      <a:ln w="9525" cmpd="sng" cap="flat">
                        <a:noFill/>
                        <a:prstDash val="solid"/>
                        <a:round/>
                      </a:ln>
                    </wps:spPr>
                    <wps:txbx id="6">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16</w:t>
                          </w:r>
                          <w:r>
                            <w:rPr>
                              <w:rFonts w:hint="eastAsia"/>
                              <w:sz w:val="18"/>
                            </w:rPr>
                            <w:fldChar w:fldCharType="end"/>
                          </w:r>
                        </w:p>
                      </w:txbxContent>
                    </wps:txbx>
                    <wps:bodyPr vert="horz" wrap="none" lIns="0" tIns="0" rIns="0" bIns="0" anchor="t" anchorCtr="0" upright="0">
                      <a:spAutoFit/>
                    </wps:bodyPr>
                  </wps:wsp>
                </a:graphicData>
              </a:graphic>
            </wp:anchor>
          </w:drawing>
        </mc:Choice>
        <mc:Fallback>
          <w:pict>
            <v:shape type="#_x0000_t202" id="文本框 1 7" o:spid="_x0000_s7" filled="f" stroked="f" style="position:absolute;margin-left:0.0pt;margin-top:0.0pt;width:9.126pt;height:10.998pt;z-index:14;mso-position-horizontal:center;mso-position-horizontal-relative:margin;mso-position-vertical:absolute;mso-wrap-distance-left:7.999878pt;mso-wrap-distance-right:7.999878pt;mso-wrap-style:none;">
              <v:stroke color="#000000"/>
              <v:textbox id="849" inset="0mm,0mm,0mm,0mm" o:insetmode="custom" style="layout-flow:horizontal;v-text-anchor:top;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16</w:t>
                    </w:r>
                    <w:r>
                      <w:rPr>
                        <w:rFonts w:hint="eastAsia"/>
                        <w:sz w:val="18"/>
                      </w:rPr>
                      <w:fldChar w:fldCharType="end"/>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pBdr>
        <w:bottom w:val="none" w:sz="0" w:space="0" w:color="auto"/>
      </w:pBdr>
      <w:tabs>
        <w:tab w:val="center" w:pos="4153"/>
        <w:tab w:val="right" w:pos="8306"/>
      </w:tabs>
      <w:rPr>
        <w:sz w:val="21"/>
        <w:szCs w:val="21"/>
      </w:rPr>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tabs>
        <w:tab w:val="center" w:pos="4153"/>
        <w:tab w:val="right" w:pos="8306"/>
      </w:tabs>
    </w:pPr>
    <w:r>
      <w:pict>
        <v:shape type="#_x0000_t136" id="PowerPlusWaterMarkObject1" o:spid="_x0000_s1" fillcolor="#A5A5A5" stroked="f" strokecolor="#000000" adj="10800" o:allowincell="f" style="position:absolute;margin-left:0.0pt;margin-top:0.0pt;width:576.0pt;height:48.0pt;rotation:315.0;z-index:-7;mso-position-horizontal:center;mso-position-horizontal-relative:margin;mso-position-vertical:center;mso-position-vertical-relative:margin;mso-wrap-distance-left:7.999878pt;mso-wrap-distance-right:7.999878pt;">
          <v:fill opacity="32768f"/>
          <v:stroke color="#000000"/>
          <v:textpath style="font-family:&quot;宋体&quot;;font-size:48pt;" trim="t" fitpath="t" string="金华天逸工程咨询有限公司"/>
        </v:shape>
      </w:pict>
    </w: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pBdr>
        <w:bottom w:val="none" w:sz="0" w:space="0" w:color="auto"/>
      </w:pBdr>
      <w:tabs>
        <w:tab w:val="center" w:pos="4153"/>
        <w:tab w:val="left" w:pos="7875"/>
        <w:tab w:val="right" w:pos="8306"/>
      </w:tabs>
      <w:jc w:val="left"/>
    </w:pPr>
    <w:r>
      <w:rPr>
        <w:rFonts w:hint="eastAsia"/>
      </w:rPr>
      <w:tab/>
      <w:tab/>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B294EE5E"/>
    <w:multiLevelType w:val="singleLevel"/>
    <w:tmpl w:val="B294EE5E"/>
    <w:lvl w:ilvl="0">
      <w:start w:val="1"/>
      <w:numFmt w:val="decimal"/>
      <w:lvlRestart w:val="0"/>
      <w:suff w:val="nothing"/>
      <w:lvlText w:val="%1．"/>
      <w:lvlJc w:val="left"/>
      <w:pPr>
        <w:ind w:left="0" w:firstLine="400"/>
      </w:pPr>
      <w:rPr>
        <w:rFonts w:hint="default"/>
      </w:rPr>
    </w:lvl>
  </w:abstractNum>
  <w:abstractNum w:abstractNumId="1">
    <w:nsid w:val="6503FA08"/>
    <w:multiLevelType w:val="singleLevel"/>
    <w:tmpl w:val="6503FA08"/>
    <w:lvl w:ilvl="0">
      <w:start w:val="1"/>
      <w:numFmt w:val="decimal"/>
      <w:lvlRestart w:val="0"/>
      <w:suff w:val="nothing"/>
      <w:lvlText w:val="%1．"/>
      <w:lvlJc w:val="left"/>
      <w:pPr>
        <w:ind w:left="0" w:firstLine="400"/>
      </w:pPr>
      <w:rPr>
        <w:rFonts w:hint="default"/>
      </w:rPr>
    </w:lvl>
  </w:abstractNum>
  <w:abstractNum w:abstractNumId="2">
    <w:nsid w:val="6503FA2B"/>
    <w:multiLevelType w:val="singleLevel"/>
    <w:tmpl w:val="6503FA2B"/>
    <w:lvl w:ilvl="0">
      <w:start w:val="1"/>
      <w:numFmt w:val="decimal"/>
      <w:lvlRestart w:val="0"/>
      <w:suff w:val="nothing"/>
      <w:lvlText w:val="%1．"/>
      <w:lvlJc w:val="left"/>
      <w:pPr>
        <w:ind w:left="0" w:firstLine="400"/>
      </w:pPr>
      <w:rPr>
        <w:rFonts w:hint="default"/>
      </w:rPr>
    </w:lvl>
  </w:abstractNum>
  <w:abstractNum w:abstractNumId="3">
    <w:nsid w:val="6148EDFF"/>
    <w:multiLevelType w:val="singleLevel"/>
    <w:tmpl w:val="6148EDFF"/>
    <w:lvl w:ilvl="0">
      <w:start w:val="1"/>
      <w:numFmt w:val="decimalEnclosedCircleChinese"/>
      <w:lvlRestart w:val="0"/>
      <w:suff w:val="nothing"/>
      <w:lvlText w:val="%1　"/>
      <w:lvlJc w:val="left"/>
      <w:pPr>
        <w:ind w:left="0" w:firstLine="400"/>
      </w:pPr>
      <w:rPr>
        <w:rFonts w:hint="eastAsia"/>
      </w:rPr>
    </w:lvl>
  </w:abstractNum>
  <w:abstractNum w:abstractNumId="4">
    <w:nsid w:val="5AD340B2"/>
    <w:multiLevelType w:val="singleLevel"/>
    <w:tmpl w:val="5AD340B2"/>
    <w:lvl w:ilvl="0">
      <w:start w:val="1"/>
      <w:numFmt w:val="decimalEnclosedCircleChinese"/>
      <w:lvlRestart w:val="0"/>
      <w:suff w:val="nothing"/>
      <w:lvlText w:val="%1　"/>
      <w:lvlJc w:val="left"/>
      <w:pPr>
        <w:ind w:left="0" w:firstLine="400"/>
      </w:pPr>
      <w:rPr>
        <w:rFonts w:hint="eastAsia"/>
      </w:rPr>
    </w:lvl>
  </w:abstractNum>
  <w:abstractNum w:abstractNumId="5">
    <w:nsid w:val="9DE3D432"/>
    <w:multiLevelType w:val="singleLevel"/>
    <w:tmpl w:val="9DE3D432"/>
    <w:lvl w:ilvl="0">
      <w:start w:val="1"/>
      <w:numFmt w:val="decimalEnclosedCircleChinese"/>
      <w:lvlRestart w:val="0"/>
      <w:suff w:val="nothing"/>
      <w:lvlText w:val="%1　"/>
      <w:lvlJc w:val="left"/>
      <w:pPr>
        <w:ind w:left="0" w:firstLine="400"/>
      </w:pPr>
      <w:rPr>
        <w:rFonts w:hint="eastAsia"/>
      </w:rPr>
    </w:lvl>
  </w:abstractNum>
  <w:abstractNum w:abstractNumId="6">
    <w:nsid w:val="6503FAEA"/>
    <w:multiLevelType w:val="singleLevel"/>
    <w:tmpl w:val="6503FAEA"/>
    <w:lvl w:ilvl="0">
      <w:start w:val="1"/>
      <w:numFmt w:val="decimal"/>
      <w:lvlRestart w:val="0"/>
      <w:suff w:val="nothing"/>
      <w:lvlText w:val="%1．"/>
      <w:lvlJc w:val="left"/>
      <w:pPr>
        <w:ind w:left="0" w:firstLine="400"/>
      </w:pPr>
      <w:rPr>
        <w:rFonts w:hint="default"/>
      </w:rPr>
    </w:lvl>
  </w:abstractNum>
  <w:abstractNum w:abstractNumId="7">
    <w:nsid w:val="652CEFBF"/>
    <w:multiLevelType w:val="singleLevel"/>
    <w:tmpl w:val="652CEFBF"/>
    <w:lvl w:ilvl="0">
      <w:start w:val="1"/>
      <w:numFmt w:val="decimal"/>
      <w:lvlRestart w:val="0"/>
      <w:suff w:val="nothing"/>
      <w:lvlText w:val="%1．"/>
      <w:lvlJc w:val="left"/>
      <w:pPr>
        <w:ind w:left="0" w:firstLine="400"/>
      </w:pPr>
      <w:rPr>
        <w:rFonts w:hint="default"/>
      </w:rPr>
    </w:lvl>
  </w:abstractNum>
  <w:abstractNum w:abstractNumId="8">
    <w:nsid w:val="6503FB4F"/>
    <w:multiLevelType w:val="singleLevel"/>
    <w:tmpl w:val="6503FB4F"/>
    <w:lvl w:ilvl="0">
      <w:start w:val="1"/>
      <w:numFmt w:val="decimal"/>
      <w:lvlRestart w:val="0"/>
      <w:suff w:val="nothing"/>
      <w:lvlText w:val="%1．"/>
      <w:lvlJc w:val="left"/>
      <w:pPr>
        <w:ind w:left="0" w:firstLine="400"/>
      </w:pPr>
      <w:rPr>
        <w:rFonts w:hint="default"/>
      </w:rPr>
    </w:lvl>
  </w:abstractNum>
  <w:abstractNum w:abstractNumId="9">
    <w:nsid w:val="4765C4FC"/>
    <w:multiLevelType w:val="singleLevel"/>
    <w:tmpl w:val="4765C4FC"/>
    <w:lvl w:ilvl="0">
      <w:start w:val="1"/>
      <w:numFmt w:val="decimal"/>
      <w:lvlRestart w:val="0"/>
      <w:suff w:val="nothing"/>
      <w:lvlText w:val="%1．"/>
      <w:lvlJc w:val="left"/>
      <w:pPr>
        <w:ind w:left="0" w:firstLine="400"/>
      </w:pPr>
      <w:rPr>
        <w:rFonts w:hint="default"/>
      </w:rPr>
    </w:lvl>
  </w:abstractNum>
  <w:abstractNum w:abstractNumId="10">
    <w:nsid w:val="20C3663F"/>
    <w:multiLevelType w:val="singleLevel"/>
    <w:tmpl w:val="20C3663F"/>
    <w:lvl w:ilvl="0">
      <w:start w:val="4"/>
      <w:numFmt w:val="decimal"/>
      <w:lvlRestart w:val="0"/>
      <w:suff w:val="space"/>
      <w:lvlText w:val="（%1)"/>
      <w:lvlJc w:val="left"/>
      <w:pPr>
        <w:ind w:left="0" w:hanging="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Arial" w:hAnsi="Calibri"/>
      <w:kern w:val="2"/>
      <w:sz w:val="21"/>
      <w:szCs w:val="24"/>
      <w:lang w:val="en-US" w:eastAsia="zh-CN" w:bidi="ar-SA"/>
    </w:rPr>
  </w:style>
  <w:style w:type="paragraph" w:styleId="1">
    <w:name w:val="heading 1"/>
    <w:basedOn w:val="0"/>
    <w:next w:val="0"/>
    <w:link w:val="1Char"/>
    <w:pPr>
      <w:autoSpaceDE w:val="0"/>
      <w:autoSpaceDN w:val="0"/>
      <w:adjustRightInd w:val="0"/>
      <w:spacing w:line="400" w:lineRule="exact"/>
      <w:jc w:val="center"/>
      <w:outlineLvl w:val="0"/>
    </w:pPr>
    <w:rPr>
      <w:rFonts w:ascii="Times New Roman" w:eastAsia="宋体" w:hAnsi="Times New Roman"/>
      <w:b/>
      <w:bCs/>
      <w:kern w:val="0"/>
      <w:sz w:val="36"/>
      <w:szCs w:val="36"/>
    </w:rPr>
  </w:style>
  <w:style w:type="character" w:customStyle="1" w:styleId="1Char">
    <w:name w:val="heading 1 Char"/>
    <w:basedOn w:val="10"/>
    <w:link w:val="1"/>
    <w:rPr>
      <w:rFonts w:ascii="Times New Roman" w:eastAsia="宋体" w:cs="Arial" w:hAnsi="Times New Roman"/>
      <w:b/>
      <w:bCs/>
      <w:kern w:val="0"/>
      <w:sz w:val="36"/>
      <w:szCs w:val="36"/>
      <w:lang w:val="en-US" w:eastAsia="zh-CN" w:bidi="ar-SA"/>
    </w:rPr>
  </w:style>
  <w:style w:type="paragraph" w:styleId="2">
    <w:name w:val="heading 2"/>
    <w:basedOn w:val="0"/>
    <w:next w:val="0"/>
    <w:pPr>
      <w:keepNext/>
      <w:keepLines/>
      <w:widowControl w:val="0"/>
      <w:spacing w:before="260" w:after="260" w:line="415" w:lineRule="auto"/>
      <w:outlineLvl w:val="1"/>
    </w:pPr>
    <w:rPr>
      <w:rFonts w:ascii="Arial" w:eastAsia="黑体" w:hAnsi="Arial"/>
      <w:b/>
      <w:bCs/>
      <w:sz w:val="32"/>
      <w:szCs w:val="32"/>
    </w:rPr>
  </w:style>
  <w:style w:type="character" w:default="1" w:styleId="10">
    <w:name w:val="Default Paragraph Font"/>
  </w:style>
  <w:style w:type="paragraph" w:styleId="15">
    <w:name w:val="Body Text"/>
    <w:basedOn w:val="0"/>
    <w:next w:val="0"/>
    <w:pPr>
      <w:spacing w:after="120"/>
    </w:pPr>
    <w:rPr>
      <w:rFonts w:ascii="Times New Roman" w:eastAsia="宋体" w:cs="Times New Roman" w:hAnsi="Times New Roman"/>
      <w:sz w:val="28"/>
    </w:rPr>
  </w:style>
  <w:style w:type="paragraph" w:styleId="16">
    <w:name w:val="annotation text"/>
    <w:basedOn w:val="0"/>
    <w:pPr>
      <w:jc w:val="left"/>
    </w:pPr>
  </w:style>
  <w:style w:type="paragraph" w:styleId="17">
    <w:name w:val="Body Text Indent"/>
    <w:basedOn w:val="0"/>
    <w:pPr>
      <w:spacing w:line="200" w:lineRule="exact"/>
      <w:ind w:firstLine="301"/>
    </w:pPr>
    <w:rPr>
      <w:rFonts w:ascii="宋体"/>
      <w:spacing w:val="-4"/>
      <w:sz w:val="18"/>
      <w:szCs w:val="20"/>
    </w:rPr>
  </w:style>
  <w:style w:type="paragraph" w:styleId="18">
    <w:name w:val="Plain Text"/>
    <w:basedOn w:val="0"/>
    <w:pPr>
      <w:spacing w:before="156" w:after="156" w:line="400" w:lineRule="exact"/>
    </w:pPr>
    <w:rPr>
      <w:rFonts w:ascii="宋体"/>
      <w:sz w:val="24"/>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Normal (Web)"/>
    <w:basedOn w:val="0"/>
    <w:pPr>
      <w:spacing w:beforeAutospacing="1" w:afterAutospacing="1"/>
      <w:jc w:val="left"/>
    </w:pPr>
    <w:rPr>
      <w:rFonts w:cs="Times New Roman"/>
      <w:kern w:val="0"/>
      <w:sz w:val="24"/>
    </w:rPr>
  </w:style>
  <w:style w:type="paragraph" w:styleId="22">
    <w:name w:val="Body Text First Indent"/>
    <w:basedOn w:val="15"/>
    <w:next w:val="0"/>
    <w:pPr>
      <w:ind w:firstLineChars="100" w:firstLine="100"/>
    </w:pPr>
    <w:rPr>
      <w:sz w:val="21"/>
      <w:szCs w:val="22"/>
    </w:rPr>
  </w:style>
  <w:style w:type="character" w:styleId="23">
    <w:name w:val="Strong"/>
    <w:basedOn w:val="10"/>
    <w:rPr>
      <w:b/>
    </w:rPr>
  </w:style>
  <w:style w:type="character" w:styleId="24">
    <w:name w:val="page number"/>
    <w:basedOn w:val="10"/>
  </w:style>
  <w:style w:type="character" w:styleId="25">
    <w:name w:val="Hyperlink"/>
    <w:basedOn w:val="10"/>
    <w:rPr>
      <w:color w:val="0000FF"/>
      <w:u w:val="single"/>
    </w:rPr>
  </w:style>
  <w:style w:type="paragraph" w:customStyle="1" w:styleId="26">
    <w:name w:val="表格文字（两侧对齐）"/>
    <w:basedOn w:val="0"/>
    <w:pPr>
      <w:snapToGrid w:val="0"/>
    </w:pPr>
    <w:rPr>
      <w:sz w:val="20"/>
    </w:rPr>
  </w:style>
  <w:style w:type="paragraph" w:customStyle="1" w:styleId="27">
    <w:name w:val="表格文字"/>
    <w:basedOn w:val="26"/>
    <w:next w:val="15"/>
    <w:rPr>
      <w:sz w:val="18"/>
    </w:rPr>
  </w:style>
  <w:style w:type="paragraph" w:customStyle="1" w:styleId="28">
    <w:name w:val="正文段"/>
    <w:basedOn w:val="0"/>
    <w:pPr>
      <w:widowControl/>
      <w:snapToGrid w:val="0"/>
      <w:spacing w:afterLines="50" w:after="50"/>
      <w:ind w:firstLineChars="200" w:firstLine="200"/>
    </w:pPr>
    <w:rPr>
      <w:kern w:val="0"/>
      <w:sz w:val="24"/>
      <w:szCs w:val="2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styles" Target="styles.xml"/><Relationship Id="rId9" Type="http://schemas.openxmlformats.org/officeDocument/2006/relationships/numbering" Target="numbering.xml"/><Relationship Id="rId10"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21</Pages>
  <Words>14068</Words>
  <Characters>14262</Characters>
  <Lines>763</Lines>
  <Paragraphs>446</Paragraphs>
  <CharactersWithSpaces>14535</CharactersWithSpaces>
  <Company>Company</Company>
</Properties>
</file>

<file path=docProps/core.xml><?xml version="1.0" encoding="utf-8"?>
<cp:coreProperties xmlns:cp="http://schemas.openxmlformats.org/package/2006/metadata/core-properties" xmlns:dc="http://purl.org/dc/elements/1.1/" xmlns:dcterms="http://purl.org/dc/terms/" xmlns:xsi="http://www.w3.org/2001/XMLSchema-instance">
  <dc:creator>服务中心1303</dc:creator>
  <cp:lastModifiedBy>张丹瑜</cp:lastModifiedBy>
  <cp:revision>2</cp:revision>
  <dcterms:created xsi:type="dcterms:W3CDTF">2026-02-13T00:55:00Z</dcterms:created>
  <dcterms:modified xsi:type="dcterms:W3CDTF">2026-02-13T07:14:10Z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2052-11.8.2.8721</vt:lpwstr>
  </property>
  <property fmtid="{D5CDD505-2E9C-101B-9397-08002B2CF9AE}" pid="3" name="ICV">
    <vt:lpwstr>7177A28DAE3F4FAE88219B2FFCEE1081_13</vt:lpwstr>
  </property>
  <property fmtid="{D5CDD505-2E9C-101B-9397-08002B2CF9AE}" pid="4" name="KSOTemplateDocerSaveRecord">
    <vt:lpwstr>eyJoZGlkIjoiMzMzOTI5NTA5MDIxZjJjMGMwNWI2YTYxM2I3Y2M0MmEiLCJ1c2VySWQiOiI0OTk5NDUzNjQifQ==</vt:lpwstr>
  </property>
</Properties>
</file>