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spacing w:after="0" w:line="360" w:lineRule="auto"/>
        <w:ind w:left="10" w:right="701" w:hanging="10"/>
        <w:jc w:val="center"/>
        <w:rPr>
          <w:rFonts w:ascii="Arial" w:eastAsia="宋体" w:cs="Arial" w:hAnsi="Arial"/>
          <w:color w:val="auto"/>
          <w:highlight w:val="auto"/>
        </w:rPr>
      </w:pPr>
      <w:bookmarkStart w:id="0" w:name="_GoBack"/>
      <w:r>
        <w:rPr>
          <w:rFonts w:ascii="Arial" w:eastAsia="宋体" w:cs="Arial" w:hAnsi="Arial" w:hint="eastAsia"/>
          <w:color w:val="auto"/>
          <w:sz w:val="28"/>
          <w:highlight w:val="auto"/>
        </w:rPr>
        <w:t>温州海关缉私分局业务技术用房改造项目电梯设备</w:t>
      </w:r>
      <w:r>
        <w:rPr>
          <w:rFonts w:ascii="Arial" w:eastAsia="宋体" w:cs="Arial" w:hAnsi="Arial"/>
          <w:color w:val="auto"/>
          <w:sz w:val="28"/>
          <w:highlight w:val="auto"/>
        </w:rPr>
        <w:t>招标公告</w:t>
      </w:r>
    </w:p>
    <w:p>
      <w:pPr>
        <w:pStyle w:val="2"/>
        <w:spacing w:after="0" w:line="360" w:lineRule="auto"/>
        <w:ind w:left="-5"/>
        <w:rPr>
          <w:rFonts w:ascii="Arial" w:eastAsia="宋体" w:cs="Arial" w:hAnsi="Arial"/>
          <w:color w:val="auto"/>
          <w:highlight w:val="auto"/>
        </w:rPr>
      </w:pPr>
      <w:bookmarkStart w:id="1" w:name="_Toc206157981"/>
      <w:bookmarkStart w:id="2" w:name="_Toc531283797"/>
      <w:bookmarkStart w:id="3" w:name="_Toc131748031"/>
      <w:bookmarkEnd w:id="0"/>
      <w:r>
        <w:rPr>
          <w:rFonts w:ascii="Arial" w:eastAsia="宋体" w:cs="Arial" w:hAnsi="Arial"/>
          <w:b/>
          <w:color w:val="auto"/>
          <w:highlight w:val="auto"/>
        </w:rPr>
        <w:t xml:space="preserve">1. </w:t>
      </w:r>
      <w:r>
        <w:rPr>
          <w:rFonts w:ascii="Arial" w:eastAsia="宋体" w:cs="Arial" w:hAnsi="Arial"/>
          <w:color w:val="auto"/>
          <w:highlight w:val="auto"/>
        </w:rPr>
        <w:t>招标条件</w:t>
      </w:r>
      <w:bookmarkEnd w:id="1"/>
      <w:bookmarkEnd w:id="2"/>
      <w:bookmarkEnd w:id="3"/>
    </w:p>
    <w:p>
      <w:pPr>
        <w:pStyle w:val="15"/>
        <w:topLinePunct/>
        <w:spacing w:after="0" w:line="360" w:lineRule="auto"/>
        <w:ind w:firstLineChars="200" w:firstLine="480"/>
        <w:rPr>
          <w:rFonts w:ascii="宋体" w:cs="Arial"/>
          <w:color w:val="auto"/>
          <w:sz w:val="24"/>
          <w:szCs w:val="24"/>
          <w:highlight w:val="auto"/>
        </w:rPr>
      </w:pPr>
      <w:r>
        <w:rPr>
          <w:rFonts w:ascii="宋体" w:cs="Arial"/>
          <w:color w:val="auto"/>
          <w:sz w:val="24"/>
          <w:szCs w:val="24"/>
          <w:highlight w:val="auto"/>
        </w:rPr>
        <w:t>本招标项目</w:t>
      </w:r>
      <w:r>
        <w:rPr>
          <w:rFonts w:ascii="宋体" w:cs="Arial" w:hint="eastAsia"/>
          <w:color w:val="auto"/>
          <w:sz w:val="24"/>
          <w:szCs w:val="24"/>
          <w:u w:val="single"/>
          <w:highlight w:val="auto"/>
        </w:rPr>
        <w:t>温州海关缉私分局业务技术用房改造项目电梯设备</w:t>
      </w:r>
      <w:r>
        <w:rPr>
          <w:rFonts w:ascii="宋体" w:cs="Arial"/>
          <w:color w:val="auto"/>
          <w:sz w:val="24"/>
          <w:szCs w:val="24"/>
          <w:highlight w:val="auto"/>
        </w:rPr>
        <w:t>招标人为</w:t>
      </w:r>
      <w:r>
        <w:rPr>
          <w:rFonts w:ascii="宋体" w:cs="Arial" w:hint="eastAsia"/>
          <w:color w:val="auto"/>
          <w:sz w:val="24"/>
          <w:szCs w:val="24"/>
          <w:u w:val="single"/>
          <w:highlight w:val="auto"/>
        </w:rPr>
        <w:t>中华人民共和国温州海关</w:t>
      </w:r>
      <w:r>
        <w:rPr>
          <w:rFonts w:ascii="宋体" w:cs="Arial"/>
          <w:color w:val="auto"/>
          <w:sz w:val="24"/>
          <w:szCs w:val="24"/>
          <w:highlight w:val="auto"/>
        </w:rPr>
        <w:t>，招标项目资金来自</w:t>
      </w:r>
      <w:r>
        <w:rPr>
          <w:rFonts w:ascii="宋体" w:cs="Arial" w:hint="eastAsia"/>
          <w:color w:val="auto"/>
          <w:sz w:val="24"/>
          <w:szCs w:val="24"/>
          <w:u w:val="single"/>
          <w:highlight w:val="auto"/>
        </w:rPr>
        <w:t>中华人民共和国温州海关</w:t>
      </w:r>
      <w:r>
        <w:rPr>
          <w:rFonts w:ascii="宋体" w:cs="Arial"/>
          <w:color w:val="auto"/>
          <w:sz w:val="24"/>
          <w:szCs w:val="24"/>
          <w:highlight w:val="auto"/>
        </w:rPr>
        <w:t>，出资比例为</w:t>
      </w:r>
      <w:r>
        <w:rPr>
          <w:rFonts w:ascii="宋体" w:cs="Arial" w:hint="eastAsia"/>
          <w:color w:val="auto"/>
          <w:sz w:val="24"/>
          <w:szCs w:val="24"/>
          <w:u w:val="single"/>
          <w:highlight w:val="auto"/>
        </w:rPr>
        <w:t>100%</w:t>
      </w:r>
      <w:r>
        <w:rPr>
          <w:rFonts w:ascii="宋体" w:cs="Arial"/>
          <w:color w:val="auto"/>
          <w:sz w:val="24"/>
          <w:szCs w:val="24"/>
          <w:highlight w:val="auto"/>
        </w:rPr>
        <w:t>。该项目已具备招标条件，现对</w:t>
      </w:r>
      <w:r>
        <w:rPr>
          <w:rFonts w:ascii="宋体" w:cs="Arial" w:hint="eastAsia"/>
          <w:color w:val="auto"/>
          <w:sz w:val="24"/>
          <w:szCs w:val="24"/>
          <w:u w:val="single"/>
          <w:highlight w:val="auto"/>
        </w:rPr>
        <w:t>电梯设备</w:t>
      </w:r>
      <w:r>
        <w:rPr>
          <w:rFonts w:ascii="宋体" w:cs="Arial"/>
          <w:color w:val="auto"/>
          <w:sz w:val="24"/>
          <w:szCs w:val="24"/>
          <w:highlight w:val="auto"/>
        </w:rPr>
        <w:t>进行公开招标。</w:t>
      </w:r>
    </w:p>
    <w:p>
      <w:pPr>
        <w:pStyle w:val="2"/>
        <w:spacing w:after="0" w:line="360" w:lineRule="auto"/>
        <w:ind w:left="-5"/>
        <w:rPr>
          <w:rFonts w:ascii="Arial" w:eastAsia="宋体" w:cs="Arial" w:hAnsi="Arial"/>
          <w:color w:val="auto"/>
          <w:highlight w:val="auto"/>
        </w:rPr>
      </w:pPr>
      <w:bookmarkStart w:id="4" w:name="_Toc131748032"/>
      <w:bookmarkStart w:id="5" w:name="_Toc531283798"/>
      <w:bookmarkStart w:id="6" w:name="_Toc206157982"/>
      <w:r>
        <w:rPr>
          <w:rFonts w:ascii="Arial" w:eastAsia="宋体" w:cs="Arial" w:hAnsi="Arial"/>
          <w:b/>
          <w:color w:val="auto"/>
          <w:highlight w:val="auto"/>
        </w:rPr>
        <w:t xml:space="preserve">2. </w:t>
      </w:r>
      <w:r>
        <w:rPr>
          <w:rFonts w:ascii="Arial" w:eastAsia="宋体" w:cs="Arial" w:hAnsi="Arial"/>
          <w:color w:val="auto"/>
          <w:highlight w:val="auto"/>
        </w:rPr>
        <w:t>项目概况与招标范围</w:t>
      </w:r>
      <w:bookmarkEnd w:id="4"/>
      <w:bookmarkEnd w:id="5"/>
      <w:bookmarkEnd w:id="6"/>
    </w:p>
    <w:p>
      <w:pPr>
        <w:pStyle w:val="15"/>
        <w:topLinePunct/>
        <w:spacing w:after="0" w:line="360" w:lineRule="auto"/>
        <w:ind w:firstLineChars="200" w:firstLine="480"/>
        <w:rPr>
          <w:rFonts w:ascii="宋体" w:cs="Arial" w:hint="eastAsia"/>
          <w:color w:val="auto"/>
          <w:sz w:val="24"/>
          <w:szCs w:val="24"/>
          <w:highlight w:val="auto"/>
        </w:rPr>
      </w:pPr>
      <w:r>
        <w:rPr>
          <w:rFonts w:ascii="宋体" w:cs="Arial" w:hint="eastAsia"/>
          <w:color w:val="auto"/>
          <w:sz w:val="24"/>
          <w:szCs w:val="24"/>
          <w:highlight w:val="auto"/>
        </w:rPr>
        <w:t>项目概况：本工程建设地点位于</w:t>
      </w:r>
      <w:r>
        <w:rPr>
          <w:rFonts w:ascii="宋体" w:cs="Arial" w:hint="eastAsia"/>
          <w:color w:val="auto"/>
          <w:sz w:val="24"/>
          <w:szCs w:val="24"/>
          <w:u w:val="single"/>
          <w:highlight w:val="auto"/>
        </w:rPr>
        <w:t>浙江省温州市鹿城区航标路</w:t>
      </w:r>
      <w:r>
        <w:rPr>
          <w:rFonts w:ascii="宋体" w:cs="Arial"/>
          <w:color w:val="auto"/>
          <w:sz w:val="24"/>
          <w:szCs w:val="24"/>
          <w:u w:val="single"/>
          <w:highlight w:val="auto"/>
        </w:rPr>
        <w:t>87</w:t>
      </w:r>
      <w:r>
        <w:rPr>
          <w:rFonts w:ascii="宋体" w:cs="Arial" w:hint="eastAsia"/>
          <w:color w:val="auto"/>
          <w:sz w:val="24"/>
          <w:szCs w:val="24"/>
          <w:u w:val="single"/>
          <w:highlight w:val="auto"/>
        </w:rPr>
        <w:t>弄</w:t>
      </w:r>
      <w:r>
        <w:rPr>
          <w:rFonts w:ascii="宋体" w:cs="Arial"/>
          <w:color w:val="auto"/>
          <w:sz w:val="24"/>
          <w:szCs w:val="24"/>
          <w:u w:val="single"/>
          <w:highlight w:val="auto"/>
        </w:rPr>
        <w:t>51</w:t>
      </w:r>
      <w:r>
        <w:rPr>
          <w:rFonts w:ascii="宋体" w:cs="Arial" w:hint="eastAsia"/>
          <w:color w:val="auto"/>
          <w:sz w:val="24"/>
          <w:szCs w:val="24"/>
          <w:u w:val="single"/>
          <w:highlight w:val="auto"/>
        </w:rPr>
        <w:t>号</w:t>
      </w:r>
      <w:r>
        <w:rPr>
          <w:rFonts w:ascii="宋体" w:cs="Arial" w:hint="eastAsia"/>
          <w:color w:val="auto"/>
          <w:sz w:val="24"/>
          <w:szCs w:val="24"/>
          <w:highlight w:val="auto"/>
        </w:rPr>
        <w:t>；项目范围内总共有电梯</w:t>
      </w:r>
      <w:r>
        <w:rPr>
          <w:rFonts w:ascii="宋体" w:cs="Arial" w:hint="eastAsia"/>
          <w:color w:val="auto"/>
          <w:sz w:val="24"/>
          <w:szCs w:val="24"/>
          <w:u w:val="single"/>
          <w:highlight w:val="auto"/>
        </w:rPr>
        <w:t>1台</w:t>
      </w:r>
      <w:r>
        <w:rPr>
          <w:rFonts w:ascii="宋体" w:cs="Arial" w:hint="eastAsia"/>
          <w:color w:val="auto"/>
          <w:sz w:val="24"/>
          <w:szCs w:val="24"/>
          <w:highlight w:val="auto"/>
        </w:rPr>
        <w:t>；本次投标最高限价</w:t>
      </w:r>
      <w:r>
        <w:rPr>
          <w:rFonts w:ascii="宋体" w:cs="Arial" w:hint="eastAsia"/>
          <w:color w:val="auto"/>
          <w:sz w:val="24"/>
          <w:szCs w:val="24"/>
          <w:u w:val="single"/>
          <w:lang w:val="en-US" w:eastAsia="zh-CN"/>
          <w:highlight w:val="auto"/>
        </w:rPr>
        <w:t>30</w:t>
      </w:r>
      <w:r>
        <w:rPr>
          <w:rFonts w:ascii="宋体" w:cs="Arial"/>
          <w:color w:val="auto"/>
          <w:sz w:val="24"/>
          <w:szCs w:val="24"/>
          <w:highlight w:val="auto"/>
        </w:rPr>
        <w:t>万元</w:t>
      </w:r>
      <w:r>
        <w:rPr>
          <w:rFonts w:ascii="宋体" w:cs="Arial" w:hint="eastAsia"/>
          <w:color w:val="auto"/>
          <w:sz w:val="24"/>
          <w:szCs w:val="24"/>
          <w:highlight w:val="auto"/>
        </w:rPr>
        <w:t>。</w:t>
      </w:r>
    </w:p>
    <w:p>
      <w:pPr>
        <w:pStyle w:val="15"/>
        <w:topLinePunct/>
        <w:spacing w:after="0" w:line="360" w:lineRule="auto"/>
        <w:ind w:firstLineChars="200" w:firstLine="480"/>
        <w:rPr>
          <w:rFonts w:ascii="宋体" w:cs="Arial" w:hint="eastAsia"/>
          <w:color w:val="auto"/>
          <w:sz w:val="24"/>
          <w:szCs w:val="24"/>
          <w:highlight w:val="auto"/>
        </w:rPr>
      </w:pPr>
      <w:r>
        <w:rPr>
          <w:rFonts w:ascii="宋体" w:cs="Arial" w:hint="eastAsia"/>
          <w:color w:val="auto"/>
          <w:sz w:val="24"/>
          <w:szCs w:val="24"/>
          <w:highlight w:val="auto"/>
        </w:rPr>
        <w:t>招标范围：包括新电梯的设计、制造、运输、装卸、保险、就位、成品保护、安装、安装电梯时土建整改、电梯内部装饰、物联网、调试、培训、检验、验收、质保期内的维修保养及相关配套服务等。</w:t>
      </w:r>
    </w:p>
    <w:p>
      <w:pPr>
        <w:pStyle w:val="15"/>
        <w:topLinePunct/>
        <w:spacing w:after="0" w:line="360" w:lineRule="auto"/>
        <w:ind w:firstLineChars="200" w:firstLine="480"/>
        <w:rPr>
          <w:rFonts w:ascii="宋体" w:cs="Arial" w:hint="eastAsia"/>
          <w:color w:val="auto"/>
          <w:sz w:val="24"/>
          <w:szCs w:val="24"/>
          <w:highlight w:val="auto"/>
        </w:rPr>
      </w:pPr>
      <w:r>
        <w:rPr>
          <w:rFonts w:ascii="宋体" w:cs="Arial" w:hint="eastAsia"/>
          <w:color w:val="auto"/>
          <w:sz w:val="24"/>
          <w:szCs w:val="24"/>
          <w:highlight w:val="auto"/>
        </w:rPr>
        <w:t>招标工期：总工期</w:t>
      </w:r>
      <w:r>
        <w:rPr>
          <w:rFonts w:ascii="宋体" w:cs="Arial" w:hint="eastAsia"/>
          <w:color w:val="auto"/>
          <w:sz w:val="24"/>
          <w:szCs w:val="24"/>
          <w:lang w:val="en-US" w:eastAsia="zh-CN"/>
          <w:highlight w:val="auto"/>
        </w:rPr>
        <w:t>90</w:t>
      </w:r>
      <w:r>
        <w:rPr>
          <w:rFonts w:ascii="宋体" w:cs="Arial" w:hint="eastAsia"/>
          <w:color w:val="auto"/>
          <w:sz w:val="24"/>
          <w:szCs w:val="24"/>
          <w:highlight w:val="auto"/>
        </w:rPr>
        <w:t>日历天（其中供货期</w:t>
      </w:r>
      <w:r>
        <w:rPr>
          <w:rFonts w:ascii="宋体" w:cs="Arial" w:hint="eastAsia"/>
          <w:color w:val="auto"/>
          <w:sz w:val="24"/>
          <w:szCs w:val="24"/>
          <w:lang w:val="en-US" w:eastAsia="zh-CN"/>
          <w:highlight w:val="auto"/>
        </w:rPr>
        <w:t>50</w:t>
      </w:r>
      <w:r>
        <w:rPr>
          <w:rFonts w:ascii="宋体" w:cs="Arial" w:hint="eastAsia"/>
          <w:color w:val="auto"/>
          <w:sz w:val="24"/>
          <w:szCs w:val="24"/>
          <w:highlight w:val="auto"/>
        </w:rPr>
        <w:t>日历天，安装期</w:t>
      </w:r>
      <w:r>
        <w:rPr>
          <w:rFonts w:ascii="宋体" w:cs="Arial" w:hint="eastAsia"/>
          <w:color w:val="auto"/>
          <w:sz w:val="24"/>
          <w:szCs w:val="24"/>
          <w:lang w:val="en-US" w:eastAsia="zh-CN"/>
          <w:highlight w:val="auto"/>
        </w:rPr>
        <w:t>4</w:t>
      </w:r>
      <w:r>
        <w:rPr>
          <w:rFonts w:ascii="宋体" w:cs="Arial" w:hint="eastAsia"/>
          <w:color w:val="auto"/>
          <w:sz w:val="24"/>
          <w:szCs w:val="24"/>
          <w:highlight w:val="auto"/>
        </w:rPr>
        <w:t>0日历天，并配合装修工期）。</w:t>
      </w:r>
    </w:p>
    <w:p>
      <w:pPr>
        <w:pStyle w:val="15"/>
        <w:topLinePunct/>
        <w:spacing w:after="0" w:line="360" w:lineRule="auto"/>
        <w:ind w:firstLineChars="200" w:firstLine="480"/>
        <w:rPr>
          <w:rFonts w:ascii="Arial" w:cs="Arial" w:hAnsi="Arial"/>
          <w:i/>
          <w:color w:val="auto"/>
          <w:sz w:val="24"/>
          <w:szCs w:val="24"/>
          <w:highlight w:val="auto"/>
        </w:rPr>
      </w:pPr>
      <w:r>
        <w:rPr>
          <w:rFonts w:ascii="宋体" w:cs="Arial" w:hint="eastAsia"/>
          <w:color w:val="auto"/>
          <w:sz w:val="24"/>
          <w:szCs w:val="24"/>
          <w:highlight w:val="auto"/>
        </w:rPr>
        <w:t>工程质量要求：合格。</w:t>
      </w:r>
    </w:p>
    <w:p>
      <w:pPr>
        <w:pStyle w:val="2"/>
        <w:spacing w:after="0" w:line="360" w:lineRule="auto"/>
        <w:ind w:left="-5"/>
        <w:rPr>
          <w:rFonts w:ascii="Arial" w:eastAsia="宋体" w:cs="Arial" w:hAnsi="Arial"/>
          <w:color w:val="auto"/>
          <w:highlight w:val="auto"/>
        </w:rPr>
      </w:pPr>
      <w:bookmarkStart w:id="7" w:name="_Toc531283799"/>
      <w:bookmarkStart w:id="8" w:name="_Toc131748033"/>
      <w:bookmarkStart w:id="9" w:name="_Toc206157983"/>
      <w:r>
        <w:rPr>
          <w:rFonts w:ascii="Arial" w:eastAsia="宋体" w:cs="Arial" w:hAnsi="Arial"/>
          <w:b/>
          <w:color w:val="auto"/>
          <w:highlight w:val="auto"/>
        </w:rPr>
        <w:t xml:space="preserve">3. </w:t>
      </w:r>
      <w:r>
        <w:rPr>
          <w:rFonts w:ascii="Arial" w:eastAsia="宋体" w:cs="Arial" w:hAnsi="Arial"/>
          <w:color w:val="auto"/>
          <w:highlight w:val="auto"/>
        </w:rPr>
        <w:t>投标人资格要求</w:t>
      </w:r>
      <w:bookmarkEnd w:id="7"/>
      <w:bookmarkEnd w:id="8"/>
      <w:bookmarkEnd w:id="9"/>
    </w:p>
    <w:p>
      <w:pPr>
        <w:pStyle w:val="15"/>
        <w:topLinePunct/>
        <w:spacing w:after="0" w:line="360" w:lineRule="auto"/>
        <w:ind w:firstLineChars="200" w:firstLine="480"/>
        <w:rPr>
          <w:rFonts w:ascii="宋体" w:cs="宋体" w:hint="eastAsia"/>
          <w:color w:val="auto"/>
          <w:sz w:val="24"/>
          <w:szCs w:val="24"/>
          <w:highlight w:val="auto"/>
        </w:rPr>
      </w:pPr>
      <w:r>
        <w:rPr>
          <w:rFonts w:ascii="宋体" w:cs="宋体" w:hint="eastAsia"/>
          <w:color w:val="auto"/>
          <w:sz w:val="24"/>
          <w:szCs w:val="24"/>
          <w:highlight w:val="auto"/>
        </w:rPr>
        <w:t>3.1 本次招标要求投标人为合格的</w:t>
      </w:r>
      <w:r>
        <w:rPr>
          <w:rFonts w:ascii="宋体" w:cs="宋体" w:hint="eastAsia"/>
          <w:iCs/>
          <w:color w:val="auto"/>
          <w:sz w:val="24"/>
          <w:szCs w:val="24"/>
          <w:u w:val="single"/>
          <w:highlight w:val="auto"/>
        </w:rPr>
        <w:t>电梯设备</w:t>
      </w:r>
      <w:r>
        <w:rPr>
          <w:rFonts w:ascii="宋体" w:cs="宋体" w:hint="eastAsia"/>
          <w:color w:val="auto"/>
          <w:sz w:val="24"/>
          <w:szCs w:val="24"/>
          <w:highlight w:val="auto"/>
        </w:rPr>
        <w:t>制造商或代理商，具体如下：</w:t>
      </w:r>
    </w:p>
    <w:p>
      <w:pPr>
        <w:pStyle w:val="15"/>
        <w:topLinePunct/>
        <w:spacing w:after="0" w:line="360" w:lineRule="auto"/>
        <w:ind w:firstLineChars="200" w:firstLine="480"/>
        <w:rPr>
          <w:rFonts w:ascii="宋体" w:cs="Arial"/>
          <w:color w:val="auto"/>
          <w:sz w:val="24"/>
          <w:szCs w:val="24"/>
          <w:highlight w:val="auto"/>
        </w:rPr>
      </w:pPr>
      <w:r>
        <w:rPr>
          <w:rFonts w:ascii="宋体" w:cs="宋体" w:hint="eastAsia"/>
          <w:color w:val="auto"/>
          <w:sz w:val="24"/>
          <w:szCs w:val="24"/>
          <w:highlight w:val="auto"/>
        </w:rPr>
        <w:t>①</w:t>
      </w:r>
      <w:r>
        <w:rPr>
          <w:rFonts w:ascii="宋体" w:cs="Arial" w:hint="eastAsia"/>
          <w:color w:val="auto"/>
          <w:sz w:val="24"/>
          <w:szCs w:val="24"/>
          <w:highlight w:val="auto"/>
        </w:rPr>
        <w:t>制造商须具备相应电梯的特种设备制造许可证</w:t>
      </w:r>
      <w:r>
        <w:rPr>
          <w:rFonts w:ascii="宋体" w:cs="Arial"/>
          <w:color w:val="auto"/>
          <w:sz w:val="24"/>
          <w:szCs w:val="24"/>
          <w:highlight w:val="auto"/>
        </w:rPr>
        <w:t>（许可范围必须覆盖</w:t>
      </w:r>
      <w:r>
        <w:rPr>
          <w:rFonts w:ascii="宋体" w:cs="Arial" w:hint="eastAsia"/>
          <w:color w:val="auto"/>
          <w:sz w:val="24"/>
          <w:szCs w:val="24"/>
          <w:highlight w:val="auto"/>
        </w:rPr>
        <w:t>1.75m/s的客梯</w:t>
      </w:r>
      <w:r>
        <w:rPr>
          <w:rFonts w:ascii="宋体" w:cs="Arial"/>
          <w:color w:val="auto"/>
          <w:sz w:val="24"/>
          <w:szCs w:val="24"/>
          <w:highlight w:val="auto"/>
        </w:rPr>
        <w:t>）</w:t>
      </w:r>
      <w:r>
        <w:rPr>
          <w:rFonts w:ascii="宋体" w:cs="Arial" w:hint="eastAsia"/>
          <w:color w:val="auto"/>
          <w:sz w:val="24"/>
          <w:szCs w:val="24"/>
          <w:highlight w:val="auto"/>
        </w:rPr>
        <w:t>或具备省级及以上市场监管部门颁发的制造单位许可（2019年6月1日以后取得资质或换证的）：电梯制造（含安装、修理、改造），许可子项目：曳引驱动乘客电梯（含消防员电梯）B级及以上；</w:t>
      </w:r>
    </w:p>
    <w:p>
      <w:pPr>
        <w:pStyle w:val="15"/>
        <w:topLinePunct/>
        <w:spacing w:after="0" w:line="360" w:lineRule="auto"/>
        <w:ind w:firstLineChars="200" w:firstLine="480"/>
        <w:rPr>
          <w:rFonts w:ascii="宋体" w:cs="Arial"/>
          <w:color w:val="auto"/>
          <w:sz w:val="24"/>
          <w:szCs w:val="24"/>
          <w:highlight w:val="auto"/>
        </w:rPr>
      </w:pPr>
      <w:r>
        <w:rPr>
          <w:rFonts w:ascii="宋体" w:cs="宋体" w:hint="eastAsia"/>
          <w:color w:val="auto"/>
          <w:sz w:val="24"/>
          <w:szCs w:val="24"/>
          <w:highlight w:val="auto"/>
        </w:rPr>
        <w:t>②</w:t>
      </w:r>
      <w:r>
        <w:rPr>
          <w:rFonts w:ascii="宋体" w:cs="Arial"/>
          <w:color w:val="auto"/>
          <w:sz w:val="24"/>
          <w:szCs w:val="24"/>
          <w:highlight w:val="auto"/>
        </w:rPr>
        <w:t>代理商参加投标的，代理商须具备合格制造商针对本项目的授权书，一个制造商仅能委托一个代理商参加投标；</w:t>
      </w:r>
    </w:p>
    <w:p>
      <w:pPr>
        <w:autoSpaceDE w:val="0"/>
        <w:autoSpaceDN w:val="0"/>
        <w:spacing w:after="0" w:line="360" w:lineRule="auto"/>
        <w:ind w:firstLineChars="200" w:firstLine="480"/>
        <w:rPr>
          <w:rFonts w:ascii="宋体" w:eastAsia="宋体" w:cs="Arial"/>
          <w:color w:val="auto"/>
          <w:sz w:val="24"/>
          <w:szCs w:val="24"/>
          <w:highlight w:val="auto"/>
        </w:rPr>
      </w:pPr>
      <w:r>
        <w:rPr>
          <w:rFonts w:ascii="宋体" w:eastAsia="宋体" w:cs="宋体" w:hint="eastAsia"/>
          <w:color w:val="auto"/>
          <w:sz w:val="24"/>
          <w:szCs w:val="24"/>
          <w:highlight w:val="auto"/>
        </w:rPr>
        <w:t>③</w:t>
      </w:r>
      <w:r>
        <w:rPr>
          <w:rFonts w:ascii="宋体" w:eastAsia="宋体" w:cs="Arial" w:hint="eastAsia"/>
          <w:color w:val="auto"/>
          <w:sz w:val="24"/>
          <w:szCs w:val="24"/>
          <w:highlight w:val="auto"/>
        </w:rPr>
        <w:t>投标人须提供安装，安装单位须具备质量技术监督部门颁发的特种设备安装改造维修许可证（电梯安装、维修C级及以上）（有效期内）或具备省级及以上市场监管部门颁发的安装修理单位许可（2019年6月1日以后取得资质或换证的）：电梯制造（含安装、修理、改造）或电梯安装（含修理），许可子项目：曳引驱动乘客电梯（含消防员电梯）B级及以上；</w:t>
      </w:r>
    </w:p>
    <w:p>
      <w:pPr>
        <w:spacing w:after="0" w:line="360" w:lineRule="auto"/>
        <w:ind w:left="-15" w:right="66" w:firstLine="420"/>
        <w:rPr>
          <w:rFonts w:ascii="宋体" w:eastAsia="宋体" w:cs="宋体" w:hint="eastAsia"/>
          <w:color w:val="auto"/>
          <w:sz w:val="24"/>
          <w:szCs w:val="24"/>
          <w:highlight w:val="auto"/>
        </w:rPr>
      </w:pPr>
      <w:r>
        <w:rPr>
          <w:rFonts w:ascii="宋体" w:eastAsia="宋体" w:cs="宋体" w:hint="eastAsia"/>
          <w:color w:val="auto"/>
          <w:sz w:val="24"/>
          <w:szCs w:val="24"/>
          <w:highlight w:val="auto"/>
        </w:rPr>
        <w:t>④</w:t>
      </w:r>
      <w:r>
        <w:rPr>
          <w:rFonts w:ascii="宋体" w:eastAsia="宋体" w:cs="Arial"/>
          <w:color w:val="auto"/>
          <w:sz w:val="24"/>
          <w:szCs w:val="24"/>
          <w:highlight w:val="auto"/>
        </w:rPr>
        <w:t>投标人如无电梯安装资质的，可与具备相应电梯安装资质的单位组成联合体投标。</w:t>
      </w:r>
    </w:p>
    <w:p>
      <w:pPr>
        <w:pStyle w:val="15"/>
        <w:topLinePunct/>
        <w:spacing w:after="0" w:line="360" w:lineRule="auto"/>
        <w:ind w:firstLineChars="200" w:firstLine="480"/>
        <w:rPr>
          <w:rFonts w:ascii="宋体" w:cs="宋体" w:hint="eastAsia"/>
          <w:color w:val="auto"/>
          <w:sz w:val="24"/>
          <w:szCs w:val="24"/>
          <w:u w:val="single"/>
          <w:highlight w:val="auto"/>
        </w:rPr>
      </w:pPr>
      <w:r>
        <w:rPr>
          <w:rFonts w:ascii="宋体" w:cs="宋体" w:hint="eastAsia"/>
          <w:color w:val="auto"/>
          <w:sz w:val="24"/>
          <w:szCs w:val="24"/>
          <w:highlight w:val="auto"/>
        </w:rPr>
        <w:t>3.2 本次招标</w:t>
      </w:r>
      <w:r>
        <w:rPr>
          <w:rFonts w:ascii="宋体" w:cs="宋体" w:hint="eastAsia"/>
          <w:color w:val="auto"/>
          <w:sz w:val="24"/>
          <w:szCs w:val="24"/>
          <w:u w:val="single"/>
          <w:highlight w:val="auto"/>
        </w:rPr>
        <w:t xml:space="preserve"> 接受 </w:t>
      </w:r>
      <w:r>
        <w:rPr>
          <w:rFonts w:ascii="宋体" w:cs="宋体" w:hint="eastAsia"/>
          <w:color w:val="auto"/>
          <w:sz w:val="24"/>
          <w:szCs w:val="24"/>
          <w:highlight w:val="auto"/>
        </w:rPr>
        <w:t>联合体投标。联合体投标的，应满足下列要求：（1）提供联合体协议书，并明确联合体牵头人；（2）联合体成员（含牵头人）数量不得超过2名。</w:t>
      </w:r>
    </w:p>
    <w:p>
      <w:pPr>
        <w:pStyle w:val="15"/>
        <w:topLinePunct/>
        <w:spacing w:after="0" w:line="360" w:lineRule="auto"/>
        <w:ind w:firstLineChars="200" w:firstLine="480"/>
        <w:rPr>
          <w:rFonts w:ascii="宋体" w:cs="宋体" w:hint="eastAsia"/>
          <w:color w:val="auto"/>
          <w:sz w:val="24"/>
          <w:szCs w:val="24"/>
          <w:highlight w:val="auto"/>
        </w:rPr>
      </w:pPr>
      <w:r>
        <w:rPr>
          <w:rFonts w:ascii="宋体" w:cs="宋体" w:hint="eastAsia"/>
          <w:color w:val="auto"/>
          <w:sz w:val="24"/>
          <w:szCs w:val="24"/>
          <w:highlight w:val="auto"/>
        </w:rPr>
        <w:t>3.3其它要求：</w:t>
      </w:r>
      <w:r>
        <w:rPr>
          <w:rFonts w:ascii="宋体" w:cs="宋体" w:hint="eastAsia"/>
          <w:color w:val="auto"/>
          <w:sz w:val="24"/>
          <w:szCs w:val="24"/>
          <w:u w:val="single"/>
          <w:highlight w:val="auto"/>
        </w:rPr>
        <w:t xml:space="preserve"> 无。</w:t>
      </w:r>
    </w:p>
    <w:p>
      <w:pPr>
        <w:pStyle w:val="2"/>
        <w:spacing w:after="0" w:line="360" w:lineRule="auto"/>
        <w:ind w:left="-5"/>
        <w:rPr>
          <w:rFonts w:ascii="Arial" w:eastAsia="宋体" w:cs="Arial" w:hAnsi="Arial"/>
          <w:color w:val="auto"/>
          <w:highlight w:val="auto"/>
        </w:rPr>
      </w:pPr>
      <w:bookmarkStart w:id="10" w:name="_Toc206157984"/>
      <w:bookmarkStart w:id="11" w:name="_Toc531283800"/>
      <w:bookmarkStart w:id="12" w:name="_Toc131748034"/>
      <w:r>
        <w:rPr>
          <w:rFonts w:ascii="Arial" w:eastAsia="宋体" w:cs="Arial" w:hAnsi="Arial"/>
          <w:b/>
          <w:color w:val="auto"/>
          <w:highlight w:val="auto"/>
        </w:rPr>
        <w:t xml:space="preserve">4. </w:t>
      </w:r>
      <w:r>
        <w:rPr>
          <w:rFonts w:ascii="Arial" w:eastAsia="宋体" w:cs="Arial" w:hAnsi="Arial"/>
          <w:color w:val="auto"/>
          <w:highlight w:val="auto"/>
        </w:rPr>
        <w:t>招标文件的获取</w:t>
      </w:r>
      <w:bookmarkEnd w:id="10"/>
      <w:bookmarkEnd w:id="11"/>
      <w:bookmarkEnd w:id="12"/>
    </w:p>
    <w:p>
      <w:pPr>
        <w:pStyle w:val="15"/>
        <w:topLinePunct/>
        <w:spacing w:after="0" w:line="360" w:lineRule="auto"/>
        <w:ind w:firstLineChars="200" w:firstLine="480"/>
        <w:rPr>
          <w:rFonts w:ascii="宋体" w:cs="宋体"/>
          <w:color w:val="auto"/>
          <w:sz w:val="24"/>
          <w:szCs w:val="24"/>
          <w:highlight w:val="auto"/>
        </w:rPr>
      </w:pPr>
      <w:r>
        <w:rPr>
          <w:rFonts w:ascii="宋体" w:cs="宋体" w:hint="eastAsia"/>
          <w:color w:val="auto"/>
          <w:sz w:val="24"/>
          <w:szCs w:val="24"/>
          <w:highlight w:val="auto"/>
        </w:rPr>
        <w:t>4</w:t>
      </w:r>
      <w:r>
        <w:rPr>
          <w:rFonts w:ascii="宋体" w:cs="宋体"/>
          <w:color w:val="auto"/>
          <w:sz w:val="24"/>
          <w:szCs w:val="24"/>
          <w:highlight w:val="auto"/>
        </w:rPr>
        <w:t>.1</w:t>
      </w:r>
      <w:r>
        <w:rPr>
          <w:rFonts w:ascii="宋体" w:cs="宋体" w:hint="eastAsia"/>
          <w:color w:val="auto"/>
          <w:sz w:val="24"/>
          <w:szCs w:val="24"/>
          <w:highlight w:val="auto"/>
        </w:rPr>
        <w:t>本工程实行资格后审，凡有意参加投标者，请在投标截止时间前，携带报名表（格式附后）、企业营业执照、资质证书的复印件至浙江首信工程项目管理有限公司（浙江省温州高新区科技园（蒲州街道）兴区路</w:t>
      </w:r>
      <w:r>
        <w:rPr>
          <w:rFonts w:ascii="宋体" w:cs="宋体"/>
          <w:color w:val="auto"/>
          <w:sz w:val="24"/>
          <w:szCs w:val="24"/>
          <w:highlight w:val="auto"/>
        </w:rPr>
        <w:t>55</w:t>
      </w:r>
      <w:r>
        <w:rPr>
          <w:rFonts w:ascii="宋体" w:cs="宋体" w:hint="eastAsia"/>
          <w:color w:val="auto"/>
          <w:sz w:val="24"/>
          <w:szCs w:val="24"/>
          <w:highlight w:val="auto"/>
        </w:rPr>
        <w:t>号北航大厦</w:t>
      </w:r>
      <w:r>
        <w:rPr>
          <w:rFonts w:ascii="宋体" w:cs="宋体"/>
          <w:color w:val="auto"/>
          <w:sz w:val="24"/>
          <w:szCs w:val="24"/>
          <w:highlight w:val="auto"/>
        </w:rPr>
        <w:t>6</w:t>
      </w:r>
      <w:r>
        <w:rPr>
          <w:rFonts w:ascii="宋体" w:cs="宋体" w:hint="eastAsia"/>
          <w:color w:val="auto"/>
          <w:sz w:val="24"/>
          <w:szCs w:val="24"/>
          <w:highlight w:val="auto"/>
        </w:rPr>
        <w:t>楼</w:t>
      </w:r>
      <w:r>
        <w:rPr>
          <w:rFonts w:ascii="宋体" w:cs="宋体"/>
          <w:color w:val="auto"/>
          <w:sz w:val="24"/>
          <w:szCs w:val="24"/>
          <w:highlight w:val="auto"/>
        </w:rPr>
        <w:t>607</w:t>
      </w:r>
      <w:r>
        <w:rPr>
          <w:rFonts w:ascii="宋体" w:cs="宋体" w:hint="eastAsia"/>
          <w:color w:val="auto"/>
          <w:sz w:val="24"/>
          <w:szCs w:val="24"/>
          <w:highlight w:val="auto"/>
        </w:rPr>
        <w:t>室）购领招标文件等资料；如采用邮件方式报名的，请联系具体经办人；售价</w:t>
      </w:r>
      <w:r>
        <w:rPr>
          <w:rFonts w:ascii="宋体" w:cs="宋体"/>
          <w:color w:val="auto"/>
          <w:sz w:val="24"/>
          <w:szCs w:val="24"/>
          <w:highlight w:val="auto"/>
        </w:rPr>
        <w:t>500</w:t>
      </w:r>
      <w:r>
        <w:rPr>
          <w:rFonts w:ascii="宋体" w:cs="宋体" w:hint="eastAsia"/>
          <w:color w:val="auto"/>
          <w:sz w:val="24"/>
          <w:szCs w:val="24"/>
          <w:highlight w:val="auto"/>
        </w:rPr>
        <w:t>元。</w:t>
      </w:r>
    </w:p>
    <w:p>
      <w:pPr>
        <w:pStyle w:val="15"/>
        <w:topLinePunct/>
        <w:spacing w:after="0" w:line="360" w:lineRule="auto"/>
        <w:ind w:firstLineChars="200" w:firstLine="480"/>
        <w:rPr>
          <w:rFonts w:ascii="宋体" w:cs="宋体"/>
          <w:color w:val="auto"/>
          <w:sz w:val="24"/>
          <w:szCs w:val="24"/>
          <w:highlight w:val="auto"/>
        </w:rPr>
      </w:pPr>
      <w:r>
        <w:rPr>
          <w:rFonts w:ascii="宋体" w:cs="宋体" w:hint="eastAsia"/>
          <w:color w:val="auto"/>
          <w:sz w:val="24"/>
          <w:szCs w:val="24"/>
          <w:highlight w:val="auto"/>
        </w:rPr>
        <w:t>本项目补充（答疑、澄清）、修改文件以网上方式发放于浙江政府采购网（</w:t>
      </w:r>
      <w:r>
        <w:rPr>
          <w:rFonts w:ascii="宋体" w:cs="宋体"/>
          <w:color w:val="auto"/>
          <w:sz w:val="24"/>
          <w:szCs w:val="24"/>
          <w:highlight w:val="auto"/>
        </w:rPr>
        <w:t>https://zfcg.czt.zj.gov.cn/</w:t>
      </w:r>
      <w:r>
        <w:rPr>
          <w:rFonts w:ascii="宋体" w:cs="宋体" w:hint="eastAsia"/>
          <w:color w:val="auto"/>
          <w:sz w:val="24"/>
          <w:szCs w:val="24"/>
          <w:highlight w:val="auto"/>
        </w:rPr>
        <w:t>）、杭州海关门户网站。</w:t>
      </w:r>
    </w:p>
    <w:p>
      <w:pPr>
        <w:pStyle w:val="15"/>
        <w:topLinePunct/>
        <w:spacing w:after="0" w:line="360" w:lineRule="auto"/>
        <w:ind w:firstLineChars="200" w:firstLine="480"/>
        <w:rPr>
          <w:rFonts w:ascii="宋体" w:cs="宋体"/>
          <w:color w:val="auto"/>
          <w:sz w:val="24"/>
          <w:szCs w:val="24"/>
          <w:highlight w:val="auto"/>
        </w:rPr>
      </w:pPr>
      <w:r>
        <w:rPr>
          <w:rFonts w:ascii="宋体" w:cs="宋体" w:hint="eastAsia"/>
          <w:color w:val="auto"/>
          <w:sz w:val="24"/>
          <w:szCs w:val="24"/>
          <w:highlight w:val="auto"/>
        </w:rPr>
        <w:t>4</w:t>
      </w:r>
      <w:r>
        <w:rPr>
          <w:rFonts w:ascii="宋体" w:cs="宋体"/>
          <w:color w:val="auto"/>
          <w:sz w:val="24"/>
          <w:szCs w:val="24"/>
          <w:highlight w:val="auto"/>
        </w:rPr>
        <w:t>.2</w:t>
      </w:r>
      <w:r>
        <w:rPr>
          <w:rFonts w:ascii="宋体" w:cs="宋体" w:hint="eastAsia"/>
          <w:color w:val="auto"/>
          <w:sz w:val="24"/>
          <w:szCs w:val="24"/>
          <w:highlight w:val="auto"/>
        </w:rPr>
        <w:t>招标文件购领时间：公告发布之日起至投标文件递交截止时间前。</w:t>
      </w:r>
    </w:p>
    <w:p>
      <w:pPr>
        <w:pStyle w:val="15"/>
        <w:topLinePunct/>
        <w:spacing w:after="0" w:line="360" w:lineRule="auto"/>
        <w:ind w:firstLineChars="200" w:firstLine="480"/>
        <w:rPr>
          <w:rFonts w:ascii="宋体" w:cs="宋体" w:hint="eastAsia"/>
          <w:color w:val="auto"/>
          <w:sz w:val="24"/>
          <w:szCs w:val="24"/>
          <w:highlight w:val="auto"/>
        </w:rPr>
      </w:pPr>
      <w:r>
        <w:rPr>
          <w:rFonts w:ascii="宋体" w:cs="宋体" w:hint="eastAsia"/>
          <w:color w:val="auto"/>
          <w:sz w:val="24"/>
          <w:szCs w:val="24"/>
          <w:highlight w:val="auto"/>
        </w:rPr>
        <w:t>4</w:t>
      </w:r>
      <w:r>
        <w:rPr>
          <w:rFonts w:ascii="宋体" w:cs="宋体"/>
          <w:color w:val="auto"/>
          <w:sz w:val="24"/>
          <w:szCs w:val="24"/>
          <w:highlight w:val="auto"/>
        </w:rPr>
        <w:t>.3</w:t>
      </w:r>
      <w:r>
        <w:rPr>
          <w:rFonts w:ascii="宋体" w:cs="宋体" w:hint="eastAsia"/>
          <w:color w:val="auto"/>
          <w:sz w:val="24"/>
          <w:szCs w:val="24"/>
          <w:highlight w:val="auto"/>
        </w:rPr>
        <w:t>发布公告的媒介：本次招标公告在浙江政府采购网（</w:t>
      </w:r>
      <w:r>
        <w:rPr>
          <w:rFonts w:ascii="宋体" w:cs="宋体"/>
          <w:color w:val="auto"/>
          <w:sz w:val="24"/>
          <w:szCs w:val="24"/>
          <w:highlight w:val="auto"/>
        </w:rPr>
        <w:t>https://zfcg.czt.zj.gov.cn/</w:t>
      </w:r>
      <w:r>
        <w:rPr>
          <w:rFonts w:ascii="宋体" w:cs="宋体" w:hint="eastAsia"/>
          <w:color w:val="auto"/>
          <w:sz w:val="24"/>
          <w:szCs w:val="24"/>
          <w:highlight w:val="auto"/>
        </w:rPr>
        <w:t>）、杭州海关门户网站上发布。</w:t>
      </w:r>
    </w:p>
    <w:p>
      <w:pPr>
        <w:pStyle w:val="2"/>
        <w:spacing w:after="0" w:line="360" w:lineRule="auto"/>
        <w:ind w:left="-5"/>
        <w:rPr>
          <w:rFonts w:ascii="Arial" w:eastAsia="宋体" w:cs="Arial" w:hAnsi="Arial"/>
          <w:color w:val="auto"/>
          <w:highlight w:val="auto"/>
        </w:rPr>
      </w:pPr>
      <w:bookmarkStart w:id="13" w:name="_Toc131748035"/>
      <w:bookmarkStart w:id="14" w:name="_Toc206157985"/>
      <w:bookmarkStart w:id="15" w:name="_Toc531283801"/>
      <w:r>
        <w:rPr>
          <w:rFonts w:ascii="Arial" w:eastAsia="宋体" w:cs="Arial" w:hAnsi="Arial"/>
          <w:b/>
          <w:color w:val="auto"/>
          <w:highlight w:val="auto"/>
        </w:rPr>
        <w:t xml:space="preserve">5. </w:t>
      </w:r>
      <w:r>
        <w:rPr>
          <w:rFonts w:ascii="Arial" w:eastAsia="宋体" w:cs="Arial" w:hAnsi="Arial"/>
          <w:color w:val="auto"/>
          <w:highlight w:val="auto"/>
        </w:rPr>
        <w:t>投标文件的递交</w:t>
      </w:r>
      <w:bookmarkEnd w:id="13"/>
      <w:bookmarkEnd w:id="14"/>
      <w:bookmarkEnd w:id="15"/>
    </w:p>
    <w:p>
      <w:pPr>
        <w:pStyle w:val="15"/>
        <w:topLinePunct/>
        <w:spacing w:after="0" w:line="360" w:lineRule="auto"/>
        <w:ind w:firstLineChars="200" w:firstLine="480"/>
        <w:rPr>
          <w:rFonts w:ascii="宋体" w:cs="宋体"/>
          <w:color w:val="auto"/>
          <w:sz w:val="24"/>
          <w:szCs w:val="24"/>
          <w:highlight w:val="auto"/>
        </w:rPr>
      </w:pPr>
      <w:r>
        <w:rPr>
          <w:rFonts w:ascii="宋体" w:cs="宋体" w:hint="eastAsia"/>
          <w:color w:val="auto"/>
          <w:sz w:val="24"/>
          <w:szCs w:val="24"/>
          <w:highlight w:val="auto"/>
        </w:rPr>
        <w:t>5</w:t>
      </w:r>
      <w:r>
        <w:rPr>
          <w:rFonts w:ascii="宋体" w:cs="宋体"/>
          <w:color w:val="auto"/>
          <w:sz w:val="24"/>
          <w:szCs w:val="24"/>
          <w:highlight w:val="auto"/>
        </w:rPr>
        <w:t>.1</w:t>
      </w:r>
      <w:r>
        <w:rPr>
          <w:rFonts w:ascii="宋体" w:cs="宋体" w:hint="eastAsia"/>
          <w:color w:val="auto"/>
          <w:sz w:val="24"/>
          <w:szCs w:val="24"/>
          <w:highlight w:val="auto"/>
        </w:rPr>
        <w:t>投标文件递交的截止时间（投标截止时间，下同）为</w:t>
      </w:r>
      <w:r>
        <w:rPr>
          <w:rFonts w:ascii="宋体" w:cs="宋体"/>
          <w:color w:val="auto"/>
          <w:sz w:val="24"/>
          <w:szCs w:val="24"/>
          <w:u w:val="single"/>
          <w:highlight w:val="auto"/>
        </w:rPr>
        <w:t>202</w:t>
      </w:r>
      <w:r>
        <w:rPr>
          <w:rFonts w:ascii="宋体" w:cs="宋体" w:hint="eastAsia"/>
          <w:color w:val="auto"/>
          <w:sz w:val="24"/>
          <w:szCs w:val="24"/>
          <w:u w:val="single"/>
          <w:lang w:val="en-US" w:eastAsia="zh-CN"/>
          <w:highlight w:val="auto"/>
        </w:rPr>
        <w:t>5</w:t>
      </w:r>
      <w:r>
        <w:rPr>
          <w:rFonts w:ascii="宋体" w:cs="宋体" w:hint="eastAsia"/>
          <w:color w:val="auto"/>
          <w:sz w:val="24"/>
          <w:szCs w:val="24"/>
          <w:u w:val="single"/>
          <w:highlight w:val="auto"/>
        </w:rPr>
        <w:t>年</w:t>
      </w:r>
      <w:r>
        <w:rPr>
          <w:rFonts w:ascii="宋体" w:cs="宋体" w:hint="eastAsia"/>
          <w:color w:val="auto"/>
          <w:sz w:val="24"/>
          <w:szCs w:val="24"/>
          <w:u w:val="single"/>
          <w:lang w:val="en-US" w:eastAsia="zh-CN"/>
          <w:highlight w:val="auto"/>
        </w:rPr>
        <w:t>11</w:t>
      </w:r>
      <w:r>
        <w:rPr>
          <w:rFonts w:ascii="宋体" w:cs="宋体" w:hint="eastAsia"/>
          <w:color w:val="auto"/>
          <w:sz w:val="24"/>
          <w:szCs w:val="24"/>
          <w:u w:val="single"/>
          <w:highlight w:val="auto"/>
        </w:rPr>
        <w:t>月</w:t>
      </w:r>
      <w:r>
        <w:rPr>
          <w:rFonts w:ascii="宋体" w:cs="宋体" w:hint="eastAsia"/>
          <w:color w:val="auto"/>
          <w:sz w:val="24"/>
          <w:szCs w:val="24"/>
          <w:u w:val="single"/>
          <w:lang w:val="en-US" w:eastAsia="zh-CN"/>
          <w:highlight w:val="auto"/>
        </w:rPr>
        <w:t>03</w:t>
      </w:r>
      <w:r>
        <w:rPr>
          <w:rFonts w:ascii="宋体" w:cs="宋体" w:hint="eastAsia"/>
          <w:color w:val="auto"/>
          <w:sz w:val="24"/>
          <w:szCs w:val="24"/>
          <w:u w:val="single"/>
          <w:highlight w:val="auto"/>
        </w:rPr>
        <w:t>日</w:t>
      </w:r>
      <w:r>
        <w:rPr>
          <w:rFonts w:ascii="宋体" w:cs="宋体"/>
          <w:color w:val="auto"/>
          <w:sz w:val="24"/>
          <w:szCs w:val="24"/>
          <w:u w:val="single"/>
          <w:highlight w:val="auto"/>
        </w:rPr>
        <w:t>14</w:t>
      </w:r>
      <w:r>
        <w:rPr>
          <w:rFonts w:ascii="宋体" w:cs="宋体" w:hint="eastAsia"/>
          <w:color w:val="auto"/>
          <w:sz w:val="24"/>
          <w:szCs w:val="24"/>
          <w:u w:val="single"/>
          <w:highlight w:val="auto"/>
        </w:rPr>
        <w:t>时</w:t>
      </w:r>
      <w:r>
        <w:rPr>
          <w:rFonts w:ascii="宋体" w:cs="宋体"/>
          <w:color w:val="auto"/>
          <w:sz w:val="24"/>
          <w:szCs w:val="24"/>
          <w:u w:val="single"/>
          <w:highlight w:val="auto"/>
        </w:rPr>
        <w:t>30</w:t>
      </w:r>
      <w:r>
        <w:rPr>
          <w:rFonts w:ascii="宋体" w:cs="宋体" w:hint="eastAsia"/>
          <w:color w:val="auto"/>
          <w:sz w:val="24"/>
          <w:szCs w:val="24"/>
          <w:u w:val="single"/>
          <w:highlight w:val="auto"/>
        </w:rPr>
        <w:t>分</w:t>
      </w:r>
      <w:r>
        <w:rPr>
          <w:rFonts w:ascii="宋体" w:cs="宋体" w:hint="eastAsia"/>
          <w:color w:val="auto"/>
          <w:sz w:val="24"/>
          <w:szCs w:val="24"/>
          <w:highlight w:val="auto"/>
        </w:rPr>
        <w:t>，地点为浙江省温州高新区科技园（蒲州街道）兴区路</w:t>
      </w:r>
      <w:r>
        <w:rPr>
          <w:rFonts w:ascii="宋体" w:cs="宋体"/>
          <w:color w:val="auto"/>
          <w:sz w:val="24"/>
          <w:szCs w:val="24"/>
          <w:highlight w:val="auto"/>
        </w:rPr>
        <w:t>55</w:t>
      </w:r>
      <w:r>
        <w:rPr>
          <w:rFonts w:ascii="宋体" w:cs="宋体" w:hint="eastAsia"/>
          <w:color w:val="auto"/>
          <w:sz w:val="24"/>
          <w:szCs w:val="24"/>
          <w:highlight w:val="auto"/>
        </w:rPr>
        <w:t>号北航大厦</w:t>
      </w:r>
      <w:r>
        <w:rPr>
          <w:rFonts w:ascii="宋体" w:cs="宋体"/>
          <w:color w:val="auto"/>
          <w:sz w:val="24"/>
          <w:szCs w:val="24"/>
          <w:highlight w:val="auto"/>
        </w:rPr>
        <w:t>6</w:t>
      </w:r>
      <w:r>
        <w:rPr>
          <w:rFonts w:ascii="宋体" w:cs="宋体" w:hint="eastAsia"/>
          <w:color w:val="auto"/>
          <w:sz w:val="24"/>
          <w:szCs w:val="24"/>
          <w:highlight w:val="auto"/>
        </w:rPr>
        <w:t>楼。</w:t>
      </w:r>
    </w:p>
    <w:p>
      <w:pPr>
        <w:pStyle w:val="15"/>
        <w:topLinePunct/>
        <w:spacing w:after="0" w:line="360" w:lineRule="auto"/>
        <w:ind w:firstLineChars="200" w:firstLine="480"/>
        <w:rPr>
          <w:rFonts w:ascii="宋体" w:cs="宋体" w:hint="eastAsia"/>
          <w:color w:val="auto"/>
          <w:sz w:val="24"/>
          <w:szCs w:val="24"/>
          <w:highlight w:val="auto"/>
        </w:rPr>
      </w:pPr>
      <w:r>
        <w:rPr>
          <w:rFonts w:ascii="宋体" w:cs="宋体" w:hint="eastAsia"/>
          <w:color w:val="auto"/>
          <w:sz w:val="24"/>
          <w:szCs w:val="24"/>
          <w:highlight w:val="auto"/>
        </w:rPr>
        <w:t>5</w:t>
      </w:r>
      <w:r>
        <w:rPr>
          <w:rFonts w:ascii="宋体" w:cs="宋体"/>
          <w:color w:val="auto"/>
          <w:sz w:val="24"/>
          <w:szCs w:val="24"/>
          <w:highlight w:val="auto"/>
        </w:rPr>
        <w:t>.2</w:t>
      </w:r>
      <w:r>
        <w:rPr>
          <w:rFonts w:ascii="宋体" w:cs="宋体" w:hint="eastAsia"/>
          <w:color w:val="auto"/>
          <w:sz w:val="24"/>
          <w:szCs w:val="24"/>
          <w:highlight w:val="auto"/>
        </w:rPr>
        <w:t>逾期送达的或者未送达指定地点的投标文件，招标人不予受理。</w:t>
      </w:r>
    </w:p>
    <w:p>
      <w:pPr>
        <w:pStyle w:val="2"/>
        <w:spacing w:after="0" w:line="360" w:lineRule="auto"/>
        <w:ind w:left="-5"/>
        <w:rPr>
          <w:rFonts w:ascii="Arial" w:eastAsia="宋体" w:cs="Arial" w:hAnsi="Arial"/>
          <w:color w:val="auto"/>
          <w:highlight w:val="auto"/>
        </w:rPr>
      </w:pPr>
      <w:bookmarkStart w:id="16" w:name="_Toc131748037"/>
      <w:bookmarkStart w:id="17" w:name="_Toc531283803"/>
      <w:bookmarkStart w:id="18" w:name="_Toc206157986"/>
      <w:r>
        <w:rPr>
          <w:rFonts w:ascii="Arial" w:eastAsia="宋体" w:cs="Arial" w:hAnsi="Arial" w:hint="eastAsia"/>
          <w:b/>
          <w:color w:val="auto"/>
          <w:highlight w:val="auto"/>
        </w:rPr>
        <w:t>6</w:t>
      </w:r>
      <w:r>
        <w:rPr>
          <w:rFonts w:ascii="Arial" w:eastAsia="宋体" w:cs="Arial" w:hAnsi="Arial"/>
          <w:b/>
          <w:color w:val="auto"/>
          <w:highlight w:val="auto"/>
        </w:rPr>
        <w:t xml:space="preserve">. </w:t>
      </w:r>
      <w:r>
        <w:rPr>
          <w:rFonts w:ascii="Arial" w:eastAsia="宋体" w:cs="Arial" w:hAnsi="Arial"/>
          <w:color w:val="auto"/>
          <w:highlight w:val="auto"/>
        </w:rPr>
        <w:t>联系方式</w:t>
      </w:r>
      <w:bookmarkEnd w:id="16"/>
      <w:bookmarkEnd w:id="17"/>
      <w:bookmarkEnd w:id="18"/>
    </w:p>
    <w:p>
      <w:pPr>
        <w:spacing w:after="0" w:line="360" w:lineRule="auto"/>
        <w:ind w:firstLineChars="200" w:firstLine="480"/>
        <w:rPr>
          <w:rFonts w:ascii="宋体" w:eastAsia="宋体" w:cs="Arial"/>
          <w:color w:val="auto"/>
          <w:sz w:val="24"/>
          <w:szCs w:val="24"/>
          <w:highlight w:val="auto"/>
        </w:rPr>
      </w:pPr>
      <w:r>
        <w:rPr>
          <w:rFonts w:ascii="宋体" w:eastAsia="宋体" w:cs="Arial" w:hint="eastAsia"/>
          <w:color w:val="auto"/>
          <w:sz w:val="24"/>
          <w:szCs w:val="24"/>
          <w:highlight w:val="auto"/>
        </w:rPr>
        <w:t>招标人：中华人民共和国温州海关</w:t>
      </w:r>
    </w:p>
    <w:p>
      <w:pPr>
        <w:spacing w:after="0" w:line="360" w:lineRule="auto"/>
        <w:ind w:firstLineChars="200" w:firstLine="480"/>
        <w:rPr>
          <w:rFonts w:ascii="宋体" w:eastAsia="宋体" w:cs="Arial"/>
          <w:color w:val="auto"/>
          <w:sz w:val="24"/>
          <w:szCs w:val="24"/>
          <w:highlight w:val="auto"/>
        </w:rPr>
      </w:pPr>
      <w:r>
        <w:rPr>
          <w:rFonts w:ascii="宋体" w:eastAsia="宋体" w:cs="Arial" w:hint="eastAsia"/>
          <w:color w:val="auto"/>
          <w:sz w:val="24"/>
          <w:szCs w:val="24"/>
          <w:highlight w:val="auto"/>
        </w:rPr>
        <w:t>地址：浙江省温州市黎明西路</w:t>
      </w:r>
      <w:r>
        <w:rPr>
          <w:rFonts w:ascii="宋体" w:eastAsia="宋体" w:cs="Arial"/>
          <w:color w:val="auto"/>
          <w:sz w:val="24"/>
          <w:szCs w:val="24"/>
          <w:highlight w:val="auto"/>
        </w:rPr>
        <w:t>143</w:t>
      </w:r>
      <w:r>
        <w:rPr>
          <w:rFonts w:ascii="宋体" w:eastAsia="宋体" w:cs="Arial" w:hint="eastAsia"/>
          <w:color w:val="auto"/>
          <w:sz w:val="24"/>
          <w:szCs w:val="24"/>
          <w:highlight w:val="auto"/>
        </w:rPr>
        <w:t>号海关大楼</w:t>
      </w:r>
    </w:p>
    <w:p>
      <w:pPr>
        <w:spacing w:after="0" w:line="360" w:lineRule="auto"/>
        <w:ind w:firstLineChars="200" w:firstLine="480"/>
        <w:rPr>
          <w:rFonts w:ascii="宋体" w:eastAsia="宋体" w:cs="Arial"/>
          <w:color w:val="auto"/>
          <w:sz w:val="24"/>
          <w:szCs w:val="24"/>
          <w:highlight w:val="auto"/>
        </w:rPr>
      </w:pPr>
      <w:r>
        <w:rPr>
          <w:rFonts w:ascii="宋体" w:eastAsia="宋体" w:cs="Arial" w:hint="eastAsia"/>
          <w:color w:val="auto"/>
          <w:sz w:val="24"/>
          <w:szCs w:val="24"/>
          <w:highlight w:val="auto"/>
        </w:rPr>
        <w:t>联系方式：胡女士</w:t>
      </w:r>
      <w:r>
        <w:rPr>
          <w:rFonts w:ascii="宋体" w:eastAsia="宋体" w:cs="Arial"/>
          <w:color w:val="auto"/>
          <w:sz w:val="24"/>
          <w:szCs w:val="24"/>
          <w:highlight w:val="auto"/>
        </w:rPr>
        <w:t xml:space="preserve"> 0577-89722426</w:t>
      </w:r>
    </w:p>
    <w:p>
      <w:pPr>
        <w:spacing w:after="0" w:line="360" w:lineRule="auto"/>
        <w:ind w:firstLineChars="200" w:firstLine="480"/>
        <w:rPr>
          <w:rFonts w:ascii="宋体" w:eastAsia="宋体" w:cs="Arial"/>
          <w:color w:val="auto"/>
          <w:sz w:val="24"/>
          <w:szCs w:val="24"/>
          <w:highlight w:val="auto"/>
        </w:rPr>
      </w:pPr>
    </w:p>
    <w:p>
      <w:pPr>
        <w:spacing w:after="0" w:line="360" w:lineRule="auto"/>
        <w:ind w:firstLineChars="200" w:firstLine="480"/>
        <w:rPr>
          <w:rFonts w:ascii="宋体" w:eastAsia="宋体" w:cs="Arial"/>
          <w:color w:val="auto"/>
          <w:sz w:val="24"/>
          <w:szCs w:val="24"/>
          <w:highlight w:val="auto"/>
        </w:rPr>
      </w:pPr>
      <w:r>
        <w:rPr>
          <w:rFonts w:ascii="宋体" w:eastAsia="宋体" w:cs="Arial" w:hint="eastAsia"/>
          <w:color w:val="auto"/>
          <w:sz w:val="24"/>
          <w:szCs w:val="24"/>
          <w:highlight w:val="auto"/>
        </w:rPr>
        <w:t>招标代理机构：浙江首信工程项目管理有限公司</w:t>
      </w:r>
    </w:p>
    <w:p>
      <w:pPr>
        <w:spacing w:after="0" w:line="360" w:lineRule="auto"/>
        <w:ind w:firstLineChars="200" w:firstLine="480"/>
        <w:rPr>
          <w:rFonts w:ascii="宋体" w:eastAsia="宋体" w:cs="Arial"/>
          <w:color w:val="auto"/>
          <w:sz w:val="24"/>
          <w:szCs w:val="24"/>
          <w:highlight w:val="auto"/>
        </w:rPr>
      </w:pPr>
      <w:r>
        <w:rPr>
          <w:rFonts w:ascii="宋体" w:eastAsia="宋体" w:cs="Arial" w:hint="eastAsia"/>
          <w:color w:val="auto"/>
          <w:sz w:val="24"/>
          <w:szCs w:val="24"/>
          <w:highlight w:val="auto"/>
        </w:rPr>
        <w:t>地址：浙江省温州高新区科技园（蒲州街道）兴区路</w:t>
      </w:r>
      <w:r>
        <w:rPr>
          <w:rFonts w:ascii="宋体" w:eastAsia="宋体" w:cs="Arial"/>
          <w:color w:val="auto"/>
          <w:sz w:val="24"/>
          <w:szCs w:val="24"/>
          <w:highlight w:val="auto"/>
        </w:rPr>
        <w:t>55</w:t>
      </w:r>
      <w:r>
        <w:rPr>
          <w:rFonts w:ascii="宋体" w:eastAsia="宋体" w:cs="Arial" w:hint="eastAsia"/>
          <w:color w:val="auto"/>
          <w:sz w:val="24"/>
          <w:szCs w:val="24"/>
          <w:highlight w:val="auto"/>
        </w:rPr>
        <w:t>号北航大厦</w:t>
      </w:r>
      <w:r>
        <w:rPr>
          <w:rFonts w:ascii="宋体" w:eastAsia="宋体" w:cs="Arial"/>
          <w:color w:val="auto"/>
          <w:sz w:val="24"/>
          <w:szCs w:val="24"/>
          <w:highlight w:val="auto"/>
        </w:rPr>
        <w:t>6</w:t>
      </w:r>
      <w:r>
        <w:rPr>
          <w:rFonts w:ascii="宋体" w:eastAsia="宋体" w:cs="Arial" w:hint="eastAsia"/>
          <w:color w:val="auto"/>
          <w:sz w:val="24"/>
          <w:szCs w:val="24"/>
          <w:highlight w:val="auto"/>
        </w:rPr>
        <w:t>楼</w:t>
      </w:r>
    </w:p>
    <w:p>
      <w:pPr>
        <w:spacing w:after="0" w:line="360" w:lineRule="auto"/>
        <w:ind w:firstLineChars="200" w:firstLine="480"/>
        <w:rPr>
          <w:rFonts w:ascii="宋体" w:eastAsia="宋体" w:cs="Arial"/>
          <w:color w:val="auto"/>
          <w:sz w:val="24"/>
          <w:szCs w:val="24"/>
          <w:highlight w:val="auto"/>
        </w:rPr>
      </w:pPr>
      <w:r>
        <w:rPr>
          <w:rFonts w:ascii="宋体" w:eastAsia="宋体" w:cs="Arial" w:hint="eastAsia"/>
          <w:color w:val="auto"/>
          <w:sz w:val="24"/>
          <w:szCs w:val="24"/>
          <w:highlight w:val="auto"/>
        </w:rPr>
        <w:t>联系方式：林先生、张先生</w:t>
      </w:r>
      <w:r>
        <w:rPr>
          <w:rFonts w:ascii="宋体" w:eastAsia="宋体" w:cs="Arial"/>
          <w:color w:val="auto"/>
          <w:sz w:val="24"/>
          <w:szCs w:val="24"/>
          <w:highlight w:val="auto"/>
        </w:rPr>
        <w:t xml:space="preserve"> 0577-88870803</w:t>
      </w:r>
      <w:r>
        <w:rPr>
          <w:rFonts w:ascii="宋体" w:eastAsia="宋体" w:cs="Arial" w:hint="eastAsia"/>
          <w:color w:val="auto"/>
          <w:sz w:val="24"/>
          <w:szCs w:val="24"/>
          <w:highlight w:val="auto"/>
        </w:rPr>
        <w:t>、</w:t>
      </w:r>
      <w:r>
        <w:rPr>
          <w:rFonts w:ascii="宋体" w:eastAsia="宋体" w:cs="Arial"/>
          <w:color w:val="auto"/>
          <w:sz w:val="24"/>
          <w:szCs w:val="24"/>
          <w:highlight w:val="auto"/>
        </w:rPr>
        <w:t>88109952</w:t>
      </w:r>
      <w:r>
        <w:rPr>
          <w:rFonts w:ascii="宋体" w:eastAsia="宋体" w:cs="Arial" w:hint="eastAsia"/>
          <w:color w:val="auto"/>
          <w:sz w:val="24"/>
          <w:szCs w:val="24"/>
          <w:highlight w:val="auto"/>
        </w:rPr>
        <w:t>、</w:t>
      </w:r>
      <w:r>
        <w:rPr>
          <w:rFonts w:ascii="宋体" w:eastAsia="宋体" w:cs="Arial"/>
          <w:color w:val="auto"/>
          <w:sz w:val="24"/>
          <w:szCs w:val="24"/>
          <w:highlight w:val="auto"/>
        </w:rPr>
        <w:t>18968769796</w:t>
      </w:r>
    </w:p>
    <w:p/>
    <w:p>
      <w:pPr>
        <w:pStyle w:val="16"/>
      </w:pPr>
    </w:p>
    <w:p>
      <w:pPr>
        <w:snapToGrid w:val="0"/>
        <w:spacing w:line="360" w:lineRule="auto"/>
        <w:jc w:val="center"/>
        <w:rPr>
          <w:rFonts w:ascii="宋体" w:hAnsi="宋体" w:hint="eastAsia"/>
          <w:b/>
          <w:bCs/>
        </w:rPr>
      </w:pPr>
      <w:r>
        <w:rPr>
          <w:rFonts w:ascii="宋体" w:hAnsi="宋体" w:hint="eastAsia"/>
          <w:b/>
          <w:bCs/>
          <w:lang w:eastAsia="zh-CN"/>
        </w:rPr>
        <w:t>温州海关缉私分局业务技术用房改造项目电梯设备</w:t>
      </w:r>
      <w:r>
        <w:rPr>
          <w:rFonts w:ascii="宋体" w:hAnsi="宋体" w:hint="eastAsia"/>
          <w:b/>
          <w:bCs/>
        </w:rPr>
        <w:t>报名表</w:t>
      </w:r>
    </w:p>
    <w:tbl>
      <w:tblPr>
        <w:jc w:val="left"/>
        <w:tblInd w:w="0" w:type="dxa"/>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565"/>
        <w:gridCol w:w="3343"/>
        <w:gridCol w:w="1277"/>
        <w:gridCol w:w="3137"/>
      </w:tblGrid>
      <w:tr>
        <w:trPr>
          <w:trHeight w:val="705"/>
        </w:trPr>
        <w:tc>
          <w:tcPr>
            <w:tcW w:w="1565" w:type="dxa"/>
            <w:tcBorders>
              <w:top w:val="single" w:sz="4" w:space="0" w:color="auto"/>
              <w:left w:val="single" w:sz="4" w:space="0" w:color="auto"/>
              <w:bottom w:val="single" w:sz="4" w:space="0" w:color="auto"/>
              <w:right w:val="single" w:sz="4" w:space="0" w:color="auto"/>
            </w:tcBorders>
            <w:noWrap/>
            <w:vAlign w:val="center"/>
          </w:tcPr>
          <w:p>
            <w:pPr>
              <w:snapToGrid w:val="0"/>
              <w:jc w:val="center"/>
              <w:rPr>
                <w:rFonts w:ascii="宋体" w:hAnsi="宋体"/>
              </w:rPr>
            </w:pPr>
            <w:r>
              <w:rPr>
                <w:rFonts w:ascii="宋体" w:hAnsi="宋体" w:hint="eastAsia"/>
              </w:rPr>
              <w:t>单位名称</w:t>
            </w:r>
          </w:p>
        </w:tc>
        <w:tc>
          <w:tcPr>
            <w:tcW w:w="7757" w:type="dxa"/>
            <w:gridSpan w:val="3"/>
            <w:tcBorders>
              <w:top w:val="single" w:sz="4" w:space="0" w:color="auto"/>
              <w:left w:val="nil"/>
              <w:bottom w:val="single" w:sz="4" w:space="0" w:color="auto"/>
              <w:right w:val="single" w:sz="4" w:space="0" w:color="auto"/>
            </w:tcBorders>
            <w:noWrap/>
            <w:vAlign w:val="center"/>
          </w:tcPr>
          <w:p>
            <w:pPr>
              <w:snapToGrid w:val="0"/>
              <w:jc w:val="both"/>
              <w:rPr>
                <w:rFonts w:ascii="宋体" w:hAnsi="宋体"/>
              </w:rPr>
            </w:pPr>
          </w:p>
        </w:tc>
      </w:tr>
      <w:tr>
        <w:trPr>
          <w:trHeight w:val="705"/>
        </w:trPr>
        <w:tc>
          <w:tcPr>
            <w:tcW w:w="1565" w:type="dxa"/>
            <w:tcBorders>
              <w:top w:val="single" w:sz="4" w:space="0" w:color="auto"/>
              <w:left w:val="single" w:sz="4" w:space="0" w:color="auto"/>
              <w:bottom w:val="single" w:sz="4" w:space="0" w:color="auto"/>
              <w:right w:val="single" w:sz="4" w:space="0" w:color="auto"/>
            </w:tcBorders>
            <w:noWrap/>
            <w:vAlign w:val="center"/>
          </w:tcPr>
          <w:p>
            <w:pPr>
              <w:snapToGrid w:val="0"/>
              <w:jc w:val="center"/>
              <w:rPr>
                <w:rFonts w:ascii="宋体" w:hAnsi="宋体"/>
              </w:rPr>
            </w:pPr>
            <w:r>
              <w:rPr>
                <w:rFonts w:ascii="宋体" w:hAnsi="宋体" w:hint="eastAsia"/>
              </w:rPr>
              <w:t>地址</w:t>
            </w:r>
          </w:p>
        </w:tc>
        <w:tc>
          <w:tcPr>
            <w:tcW w:w="7757" w:type="dxa"/>
            <w:gridSpan w:val="3"/>
            <w:tcBorders>
              <w:top w:val="single" w:sz="4" w:space="0" w:color="auto"/>
              <w:left w:val="nil"/>
              <w:bottom w:val="single" w:sz="4" w:space="0" w:color="auto"/>
              <w:right w:val="single" w:sz="4" w:space="0" w:color="auto"/>
            </w:tcBorders>
            <w:noWrap/>
            <w:vAlign w:val="center"/>
          </w:tcPr>
          <w:p>
            <w:pPr>
              <w:snapToGrid w:val="0"/>
              <w:jc w:val="both"/>
              <w:rPr>
                <w:rFonts w:ascii="宋体" w:hAnsi="宋体"/>
              </w:rPr>
            </w:pPr>
          </w:p>
        </w:tc>
      </w:tr>
      <w:tr>
        <w:trPr>
          <w:trHeight w:val="705"/>
        </w:trPr>
        <w:tc>
          <w:tcPr>
            <w:tcW w:w="1565" w:type="dxa"/>
            <w:tcBorders>
              <w:top w:val="single" w:sz="4" w:space="0" w:color="auto"/>
              <w:left w:val="single" w:sz="4" w:space="0" w:color="auto"/>
              <w:bottom w:val="single" w:sz="4" w:space="0" w:color="auto"/>
              <w:right w:val="single" w:sz="4" w:space="0" w:color="auto"/>
            </w:tcBorders>
            <w:noWrap/>
            <w:vAlign w:val="center"/>
          </w:tcPr>
          <w:p>
            <w:pPr>
              <w:snapToGrid w:val="0"/>
              <w:jc w:val="center"/>
              <w:rPr>
                <w:rFonts w:ascii="宋体" w:hAnsi="宋体"/>
              </w:rPr>
            </w:pPr>
            <w:r>
              <w:rPr>
                <w:rFonts w:ascii="宋体" w:hAnsi="宋体" w:hint="eastAsia"/>
              </w:rPr>
              <w:t>联系人</w:t>
            </w:r>
          </w:p>
        </w:tc>
        <w:tc>
          <w:tcPr>
            <w:tcW w:w="3343" w:type="dxa"/>
            <w:tcBorders>
              <w:top w:val="single" w:sz="4" w:space="0" w:color="auto"/>
              <w:left w:val="nil"/>
              <w:bottom w:val="single" w:sz="4" w:space="0" w:color="auto"/>
              <w:right w:val="single" w:sz="4" w:space="0" w:color="auto"/>
            </w:tcBorders>
            <w:noWrap/>
            <w:vAlign w:val="center"/>
          </w:tcPr>
          <w:p>
            <w:pPr>
              <w:snapToGrid w:val="0"/>
              <w:jc w:val="center"/>
              <w:rPr>
                <w:rFonts w:ascii="宋体" w:hAnsi="宋体"/>
              </w:rPr>
            </w:pPr>
          </w:p>
        </w:tc>
        <w:tc>
          <w:tcPr>
            <w:tcW w:w="1277" w:type="dxa"/>
            <w:tcBorders>
              <w:top w:val="single" w:sz="4" w:space="0" w:color="auto"/>
              <w:left w:val="nil"/>
              <w:bottom w:val="single" w:sz="4" w:space="0" w:color="auto"/>
              <w:right w:val="single" w:sz="4" w:space="0" w:color="auto"/>
            </w:tcBorders>
            <w:noWrap/>
            <w:vAlign w:val="center"/>
          </w:tcPr>
          <w:p>
            <w:pPr>
              <w:snapToGrid w:val="0"/>
              <w:jc w:val="center"/>
              <w:rPr>
                <w:rFonts w:ascii="宋体" w:hAnsi="宋体"/>
              </w:rPr>
            </w:pPr>
            <w:r>
              <w:rPr>
                <w:rFonts w:ascii="宋体" w:hAnsi="宋体" w:hint="eastAsia"/>
              </w:rPr>
              <w:t>手机号码</w:t>
            </w:r>
          </w:p>
        </w:tc>
        <w:tc>
          <w:tcPr>
            <w:tcW w:w="3137" w:type="dxa"/>
            <w:tcBorders>
              <w:top w:val="single" w:sz="4" w:space="0" w:color="auto"/>
              <w:left w:val="nil"/>
              <w:bottom w:val="single" w:sz="4" w:space="0" w:color="auto"/>
              <w:right w:val="single" w:sz="4" w:space="0" w:color="auto"/>
            </w:tcBorders>
            <w:noWrap/>
            <w:vAlign w:val="center"/>
          </w:tcPr>
          <w:p>
            <w:pPr>
              <w:snapToGrid w:val="0"/>
              <w:jc w:val="center"/>
              <w:rPr>
                <w:rFonts w:ascii="宋体" w:hAnsi="宋体"/>
              </w:rPr>
            </w:pPr>
          </w:p>
        </w:tc>
      </w:tr>
      <w:tr>
        <w:trPr>
          <w:trHeight w:val="705"/>
        </w:trPr>
        <w:tc>
          <w:tcPr>
            <w:tcW w:w="1565" w:type="dxa"/>
            <w:tcBorders>
              <w:top w:val="single" w:sz="4" w:space="0" w:color="auto"/>
              <w:left w:val="single" w:sz="4" w:space="0" w:color="auto"/>
              <w:bottom w:val="single" w:sz="4" w:space="0" w:color="auto"/>
              <w:right w:val="single" w:sz="4" w:space="0" w:color="auto"/>
            </w:tcBorders>
            <w:noWrap/>
            <w:vAlign w:val="center"/>
          </w:tcPr>
          <w:p>
            <w:pPr>
              <w:snapToGrid w:val="0"/>
              <w:jc w:val="center"/>
              <w:rPr>
                <w:rFonts w:ascii="宋体" w:hAnsi="宋体"/>
              </w:rPr>
            </w:pPr>
            <w:r>
              <w:rPr>
                <w:rFonts w:ascii="宋体" w:hAnsi="宋体" w:hint="eastAsia"/>
              </w:rPr>
              <w:t>固定电话</w:t>
            </w:r>
          </w:p>
        </w:tc>
        <w:tc>
          <w:tcPr>
            <w:tcW w:w="3343" w:type="dxa"/>
            <w:tcBorders>
              <w:top w:val="single" w:sz="4" w:space="0" w:color="auto"/>
              <w:left w:val="nil"/>
              <w:bottom w:val="single" w:sz="4" w:space="0" w:color="auto"/>
              <w:right w:val="single" w:sz="4" w:space="0" w:color="auto"/>
            </w:tcBorders>
            <w:noWrap/>
            <w:vAlign w:val="center"/>
          </w:tcPr>
          <w:p>
            <w:pPr>
              <w:snapToGrid w:val="0"/>
              <w:jc w:val="center"/>
              <w:rPr>
                <w:rFonts w:ascii="宋体" w:hAnsi="宋体"/>
              </w:rPr>
            </w:pPr>
          </w:p>
        </w:tc>
        <w:tc>
          <w:tcPr>
            <w:tcW w:w="1277" w:type="dxa"/>
            <w:tcBorders>
              <w:top w:val="single" w:sz="4" w:space="0" w:color="auto"/>
              <w:left w:val="nil"/>
              <w:bottom w:val="single" w:sz="4" w:space="0" w:color="auto"/>
              <w:right w:val="single" w:sz="4" w:space="0" w:color="auto"/>
            </w:tcBorders>
            <w:noWrap/>
            <w:vAlign w:val="center"/>
          </w:tcPr>
          <w:p>
            <w:pPr>
              <w:snapToGrid w:val="0"/>
              <w:jc w:val="center"/>
              <w:rPr>
                <w:rFonts w:ascii="宋体" w:hAnsi="宋体"/>
              </w:rPr>
            </w:pPr>
            <w:r>
              <w:rPr>
                <w:rFonts w:ascii="宋体" w:hAnsi="宋体" w:hint="eastAsia"/>
              </w:rPr>
              <w:t>邮  箱</w:t>
            </w:r>
          </w:p>
        </w:tc>
        <w:tc>
          <w:tcPr>
            <w:tcW w:w="3137" w:type="dxa"/>
            <w:tcBorders>
              <w:top w:val="single" w:sz="4" w:space="0" w:color="auto"/>
              <w:left w:val="nil"/>
              <w:bottom w:val="single" w:sz="4" w:space="0" w:color="auto"/>
              <w:right w:val="single" w:sz="4" w:space="0" w:color="auto"/>
            </w:tcBorders>
            <w:noWrap/>
            <w:vAlign w:val="center"/>
          </w:tcPr>
          <w:p>
            <w:pPr>
              <w:snapToGrid w:val="0"/>
              <w:jc w:val="center"/>
              <w:rPr>
                <w:rFonts w:ascii="宋体" w:hAnsi="宋体"/>
              </w:rPr>
            </w:pPr>
          </w:p>
        </w:tc>
      </w:tr>
    </w:tbl>
    <w:p>
      <w:pPr>
        <w:widowControl/>
        <w:spacing w:line="360" w:lineRule="exact"/>
        <w:rPr>
          <w:rFonts w:ascii="宋体" w:hAnsi="宋体" w:hint="eastAsia"/>
          <w:color w:val="000000"/>
        </w:rPr>
      </w:pPr>
      <w:r>
        <w:rPr>
          <w:rFonts w:ascii="宋体" w:hAnsi="宋体" w:hint="eastAsia"/>
          <w:color w:val="000000"/>
        </w:rPr>
        <w:t>单位（盖章）：</w:t>
      </w:r>
    </w:p>
    <w:p>
      <w:pPr>
        <w:rPr>
          <w:rFonts w:ascii="Times New Roman" w:hAnsi="Times New Roman" w:hint="eastAsia"/>
          <w:kern w:val="2"/>
          <w:sz w:val="21"/>
          <w:szCs w:val="21"/>
        </w:rPr>
      </w:pPr>
      <w:r>
        <w:rPr>
          <w:rFonts w:ascii="宋体" w:hAnsi="宋体" w:hint="eastAsia"/>
          <w:color w:val="000000"/>
        </w:rPr>
        <w:t>2025年    月    日</w:t>
      </w:r>
    </w:p>
    <w:p>
      <w:pPr>
        <w:pStyle w:val="16"/>
      </w:pPr>
    </w:p>
    <w:sectPr>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Arial">
    <w:panose1 w:val="020B0604020202020204"/>
    <w:charset w:val="01"/>
    <w:family w:val="swiss"/>
    <w:pitch w:val="variable"/>
    <w:sig w:usb0="E0002EFF" w:usb1="C000785B" w:usb2="00000009" w:usb3="00000000" w:csb0="400001FF" w:csb1="FFFF0000"/>
  </w:font>
  <w:font w:name="宋体">
    <w:panose1 w:val="02010600030101010101"/>
    <w:charset w:val="B1"/>
    <w:family w:val="auto"/>
    <w:pitch w:val="variable"/>
    <w:sig w:usb0="00000003" w:usb1="288F0000" w:usb2="00000006" w:usb3="00000000" w:csb0="00040001" w:csb1="00000000"/>
  </w:font>
  <w:font w:name="Times New Roman">
    <w:panose1 w:val="02020603050405020304"/>
    <w:charset w:val="01"/>
    <w:family w:val="auto"/>
    <w:pitch w:val="variable"/>
    <w:sig w:usb0="E0002EFF" w:usb1="C000785B" w:usb2="00000009" w:usb3="00000000" w:csb0="400001FF" w:csb1="FFFF0000"/>
  </w:font>
  <w:font w:name="Calibri">
    <w:panose1 w:val="020F0502020204030204"/>
    <w:charset w:val="00"/>
    <w:family w:val="swiss"/>
    <w:pitch w:val="variable"/>
    <w:sig w:usb0="E4002EFF" w:usb1="C000247B" w:usb2="00000009" w:usb3="00000000" w:csb0="200001FF" w:csb1="00000000"/>
  </w:font>
  <w:font w:name="黑体">
    <w:panose1 w:val="02010609060101010101"/>
    <w:charset w:val="86"/>
    <w:family w:val="auto"/>
    <w:pitch w:val="variable"/>
    <w:sig w:usb0="800002BF" w:usb1="38CF7CFA" w:usb2="00000016" w:usb3="00000000" w:csb0="00040001" w:csb1="0000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95"/>
  <w:doNotDisplayPageBoundaries/>
  <w:bordersDoNotSurroundHeader/>
  <w:bordersDoNotSurroundFooter/>
  <w:defaultTabStop w:val="420"/>
  <w:drawingGridHorizontalSpacing w:val="110"/>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spacing w:after="160" w:line="259" w:lineRule="auto"/>
    </w:pPr>
    <w:rPr>
      <w:rFonts w:ascii="Calibri" w:eastAsia="Calibri" w:cs="Calibri" w:hAnsi="Calibri"/>
      <w:color w:val="000000"/>
      <w:kern w:val="2"/>
      <w:sz w:val="22"/>
      <w:szCs w:val="22"/>
      <w:lang w:val="en-US" w:eastAsia="zh-CN" w:bidi="ar-SA"/>
    </w:rPr>
  </w:style>
  <w:style w:type="paragraph" w:styleId="2">
    <w:name w:val="heading 2"/>
    <w:basedOn w:val="0"/>
    <w:next w:val="0"/>
    <w:pPr>
      <w:keepNext/>
      <w:keepLines/>
      <w:spacing w:after="503" w:line="264" w:lineRule="auto"/>
      <w:ind w:left="10" w:right="56" w:hanging="10"/>
      <w:outlineLvl w:val="1"/>
    </w:pPr>
    <w:rPr>
      <w:rFonts w:ascii="黑体" w:eastAsia="黑体"/>
      <w:color w:val="000000"/>
      <w:sz w:val="32"/>
      <w:lang w:bidi="ar-SA"/>
    </w:rPr>
  </w:style>
  <w:style w:type="character" w:default="1" w:styleId="10">
    <w:name w:val="Default Paragraph Font"/>
  </w:style>
  <w:style w:type="paragraph" w:styleId="15">
    <w:name w:val="Body Text 3"/>
    <w:basedOn w:val="0"/>
    <w:pPr>
      <w:widowControl w:val="0"/>
      <w:spacing w:after="120" w:line="240" w:lineRule="auto"/>
      <w:jc w:val="both"/>
    </w:pPr>
    <w:rPr>
      <w:rFonts w:eastAsia="宋体" w:cs="Times New Roman"/>
      <w:color w:val="auto"/>
      <w:kern w:val="0"/>
      <w:sz w:val="16"/>
      <w:szCs w:val="16"/>
    </w:rPr>
  </w:style>
  <w:style w:type="paragraph" w:customStyle="1" w:styleId="16">
    <w:name w:val="正  文"/>
    <w:basedOn w:val="0"/>
    <w:pPr>
      <w:ind w:firstLineChars="200" w:firstLine="200"/>
      <w:textAlignment w:val="baseline"/>
    </w:pPr>
    <w:rPr>
      <w:szCs w:val="28"/>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0</TotalTime>
  <Application>Yozo_Office</Application>
  <Pages>1</Pages>
  <Words>26</Words>
  <Characters>26</Characters>
  <Lines>1</Lines>
  <Paragraphs>1</Paragraphs>
  <CharactersWithSpaces>26</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Administrator</dc:creator>
  <cp:lastModifiedBy>周振宇</cp:lastModifiedBy>
  <cp:revision>0</cp:revision>
  <dcterms:created xsi:type="dcterms:W3CDTF">2025-10-11T02:22:00Z</dcterms:created>
  <dcterms:modified xsi:type="dcterms:W3CDTF">2025-10-11T09:28:14Z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2052-12.1.0.22529</vt:lpwstr>
  </property>
  <property fmtid="{D5CDD505-2E9C-101B-9397-08002B2CF9AE}" pid="3" name="KSOTemplateDocerSaveRecord">
    <vt:lpwstr>eyJoZGlkIjoiNDM3MGU1MjEzZDJjMWM0ZjEyYWQyMGZiMDg3MjQzNWYiLCJ1c2VySWQiOiI0MjIzODc0MTUifQ==</vt:lpwstr>
  </property>
  <property fmtid="{D5CDD505-2E9C-101B-9397-08002B2CF9AE}" pid="4" name="ICV">
    <vt:lpwstr>745071A7F555421295582D1C22DB1DDB_13</vt:lpwstr>
  </property>
</Properties>
</file>