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line="360" w:lineRule="auto"/>
        <w:rPr>
          <w:rFonts w:ascii="方正小标宋_GBK" w:eastAsia="方正小标宋_GBK" w:cs="宋体" w:hint="eastAsia"/>
          <w:b w:val="0"/>
          <w:color w:val="auto"/>
          <w:spacing w:val="40"/>
          <w:highlight w:val="auto"/>
        </w:rPr>
      </w:pPr>
      <w:bookmarkStart w:id="0" w:name="_GoBack"/>
      <w:bookmarkEnd w:id="0"/>
      <w:r>
        <w:rPr>
          <w:rStyle w:val="1Char"/>
          <w:rFonts w:ascii="方正小标宋_GBK" w:eastAsia="方正小标宋_GBK" w:cs="宋体" w:hint="eastAsia"/>
          <w:b/>
          <w:bCs/>
          <w:color w:val="auto"/>
          <w:highlight w:val="auto"/>
        </w:rPr>
        <w:t>金华海关食堂服务外包项目采购需求</w:t>
      </w:r>
    </w:p>
    <w:p>
      <w:pPr>
        <w:snapToGrid w:val="0"/>
        <w:spacing w:line="460" w:lineRule="exact"/>
        <w:ind w:firstLineChars="195" w:firstLine="546"/>
        <w:jc w:val="left"/>
        <w:rPr>
          <w:rFonts w:ascii="华文仿宋" w:eastAsia="华文仿宋" w:cs="华文仿宋" w:hint="eastAsia"/>
          <w:b/>
          <w:bCs/>
          <w:color w:val="auto"/>
          <w:sz w:val="28"/>
          <w:szCs w:val="28"/>
          <w:highlight w:val="auto"/>
        </w:rPr>
      </w:pPr>
      <w:bookmarkStart w:id="1" w:name="_Toc365479279"/>
      <w:r>
        <w:rPr>
          <w:rFonts w:ascii="华文仿宋" w:eastAsia="华文仿宋" w:cs="华文仿宋" w:hint="eastAsia"/>
          <w:b/>
          <w:bCs/>
          <w:color w:val="auto"/>
          <w:sz w:val="28"/>
          <w:szCs w:val="28"/>
          <w:highlight w:val="auto"/>
        </w:rPr>
        <w:t xml:space="preserve">一、项目采购编号： </w:t>
      </w:r>
    </w:p>
    <w:p>
      <w:pPr>
        <w:spacing w:line="460" w:lineRule="exact"/>
        <w:ind w:firstLineChars="195" w:firstLine="546"/>
        <w:jc w:val="left"/>
        <w:rPr>
          <w:rFonts w:ascii="华文仿宋" w:eastAsia="华文仿宋" w:cs="华文仿宋" w:hint="eastAsia"/>
          <w:b/>
          <w:color w:val="auto"/>
          <w:sz w:val="28"/>
          <w:szCs w:val="28"/>
          <w:highlight w:val="auto"/>
        </w:rPr>
      </w:pPr>
      <w:r>
        <w:rPr>
          <w:rFonts w:ascii="华文仿宋" w:eastAsia="华文仿宋" w:cs="华文仿宋" w:hint="eastAsia"/>
          <w:b/>
          <w:bCs/>
          <w:color w:val="auto"/>
          <w:sz w:val="28"/>
          <w:szCs w:val="28"/>
          <w:highlight w:val="auto"/>
        </w:rPr>
        <w:t>二、采购单位名称：</w:t>
      </w:r>
      <w:bookmarkStart w:id="2" w:name="_Toc263856678"/>
      <w:r>
        <w:rPr>
          <w:rFonts w:ascii="华文仿宋" w:eastAsia="华文仿宋" w:cs="华文仿宋" w:hint="eastAsia"/>
          <w:b/>
          <w:bCs/>
          <w:color w:val="auto"/>
          <w:sz w:val="28"/>
          <w:szCs w:val="28"/>
          <w:lang w:val="en-US" w:eastAsia="zh-CN"/>
          <w:highlight w:val="auto"/>
        </w:rPr>
        <w:t>中华人民共和国</w:t>
      </w:r>
      <w:r>
        <w:rPr>
          <w:rFonts w:ascii="华文仿宋" w:eastAsia="华文仿宋" w:cs="华文仿宋" w:hint="eastAsia"/>
          <w:b/>
          <w:color w:val="auto"/>
          <w:sz w:val="28"/>
          <w:szCs w:val="28"/>
          <w:highlight w:val="auto"/>
        </w:rPr>
        <w:t>金华海关</w:t>
      </w:r>
    </w:p>
    <w:p>
      <w:pPr>
        <w:spacing w:line="460" w:lineRule="exact"/>
        <w:ind w:firstLineChars="195" w:firstLine="546"/>
        <w:jc w:val="left"/>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三、项目名称</w:t>
      </w:r>
      <w:bookmarkEnd w:id="2"/>
      <w:r>
        <w:rPr>
          <w:rFonts w:ascii="华文仿宋" w:eastAsia="华文仿宋" w:cs="华文仿宋" w:hint="eastAsia"/>
          <w:b/>
          <w:bCs/>
          <w:color w:val="auto"/>
          <w:sz w:val="28"/>
          <w:szCs w:val="28"/>
          <w:highlight w:val="auto"/>
        </w:rPr>
        <w:t>：</w:t>
      </w:r>
      <w:r>
        <w:rPr>
          <w:rFonts w:ascii="华文仿宋" w:eastAsia="华文仿宋" w:cs="华文仿宋" w:hint="eastAsia"/>
          <w:b/>
          <w:bCs/>
          <w:color w:val="auto"/>
          <w:kern w:val="0"/>
          <w:sz w:val="28"/>
          <w:szCs w:val="28"/>
          <w:highlight w:val="auto"/>
        </w:rPr>
        <w:t>金华海关食堂服务外包项目</w:t>
      </w:r>
    </w:p>
    <w:p>
      <w:pPr>
        <w:spacing w:line="460" w:lineRule="exact"/>
        <w:ind w:firstLineChars="200" w:firstLine="560"/>
        <w:rPr>
          <w:rFonts w:ascii="华文仿宋" w:eastAsia="华文仿宋" w:cs="华文仿宋" w:hint="eastAsia"/>
          <w:b/>
          <w:bCs/>
          <w:color w:val="auto"/>
          <w:kern w:val="0"/>
          <w:sz w:val="28"/>
          <w:szCs w:val="28"/>
          <w:lang w:val="en-US" w:eastAsia="zh-CN"/>
          <w:highlight w:val="auto"/>
        </w:rPr>
      </w:pPr>
      <w:r>
        <w:rPr>
          <w:rFonts w:ascii="华文仿宋" w:eastAsia="华文仿宋" w:cs="华文仿宋" w:hint="eastAsia"/>
          <w:b/>
          <w:color w:val="auto"/>
          <w:sz w:val="28"/>
          <w:szCs w:val="28"/>
          <w:highlight w:val="auto"/>
        </w:rPr>
        <w:t>四、</w:t>
      </w:r>
      <w:r>
        <w:rPr>
          <w:rFonts w:ascii="华文仿宋" w:eastAsia="华文仿宋" w:cs="华文仿宋" w:hint="eastAsia"/>
          <w:b/>
          <w:bCs/>
          <w:color w:val="auto"/>
          <w:kern w:val="0"/>
          <w:sz w:val="28"/>
          <w:szCs w:val="28"/>
          <w:highlight w:val="auto"/>
        </w:rPr>
        <w:t>预算金额（</w:t>
      </w:r>
      <w:r>
        <w:rPr>
          <w:rFonts w:ascii="华文仿宋" w:eastAsia="华文仿宋" w:cs="华文仿宋" w:hint="eastAsia"/>
          <w:b/>
          <w:bCs/>
          <w:color w:val="auto"/>
          <w:kern w:val="0"/>
          <w:sz w:val="28"/>
          <w:szCs w:val="28"/>
          <w:lang w:val="en-US" w:eastAsia="zh-CN"/>
          <w:highlight w:val="auto"/>
        </w:rPr>
        <w:t>最高限价</w:t>
      </w:r>
      <w:r>
        <w:rPr>
          <w:rFonts w:ascii="华文仿宋" w:eastAsia="华文仿宋" w:cs="华文仿宋" w:hint="eastAsia"/>
          <w:b/>
          <w:bCs/>
          <w:color w:val="auto"/>
          <w:kern w:val="0"/>
          <w:sz w:val="28"/>
          <w:szCs w:val="28"/>
          <w:highlight w:val="auto"/>
        </w:rPr>
        <w:t>）：</w:t>
      </w:r>
      <w:r>
        <w:rPr>
          <w:rFonts w:ascii="华文仿宋" w:eastAsia="华文仿宋" w:cs="华文仿宋" w:hint="eastAsia"/>
          <w:b/>
          <w:bCs/>
          <w:color w:val="auto"/>
          <w:kern w:val="0"/>
          <w:sz w:val="28"/>
          <w:szCs w:val="28"/>
          <w:lang w:val="en-US" w:eastAsia="zh-CN"/>
          <w:highlight w:val="auto"/>
        </w:rPr>
        <w:t>130万元</w:t>
      </w:r>
    </w:p>
    <w:p>
      <w:pPr>
        <w:keepNext w:val="0"/>
        <w:keepLines w:val="0"/>
        <w:pageBreakBefore w:val="0"/>
        <w:widowControl w:val="0"/>
        <w:kinsoku/>
        <w:wordWrap/>
        <w:overflowPunct/>
        <w:topLinePunct w:val="0"/>
        <w:autoSpaceDE/>
        <w:autoSpaceDN/>
        <w:bidi w:val="0"/>
        <w:adjustRightInd/>
        <w:snapToGrid w:val="0"/>
        <w:spacing w:line="480" w:lineRule="exact"/>
        <w:ind w:firstLineChars="200" w:firstLine="560"/>
        <w:jc w:val="left"/>
        <w:textAlignment w:val="auto"/>
        <w:rPr>
          <w:rFonts w:ascii="华文仿宋" w:eastAsia="华文仿宋" w:cs="华文仿宋" w:hint="eastAsia"/>
          <w:b/>
          <w:bCs/>
          <w:color w:val="auto"/>
          <w:sz w:val="28"/>
          <w:szCs w:val="28"/>
          <w:highlight w:val="auto"/>
        </w:rPr>
      </w:pPr>
      <w:r>
        <w:rPr>
          <w:rFonts w:ascii="华文仿宋" w:eastAsia="华文仿宋" w:cs="华文仿宋" w:hint="eastAsia"/>
          <w:b/>
          <w:color w:val="auto"/>
          <w:sz w:val="28"/>
          <w:szCs w:val="28"/>
          <w:highlight w:val="auto"/>
        </w:rPr>
        <w:t>五、</w:t>
      </w:r>
      <w:bookmarkEnd w:id="1"/>
      <w:r>
        <w:rPr>
          <w:rFonts w:ascii="华文仿宋" w:eastAsia="华文仿宋" w:cs="华文仿宋" w:hint="eastAsia"/>
          <w:b/>
          <w:bCs/>
          <w:color w:val="auto"/>
          <w:sz w:val="28"/>
          <w:szCs w:val="28"/>
          <w:highlight w:val="auto"/>
        </w:rPr>
        <w:t>采购内容及工作要求</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jc w:val="both"/>
        <w:textAlignment w:val="auto"/>
        <w:rPr>
          <w:rFonts w:ascii="华文仿宋" w:eastAsia="华文仿宋" w:cs="华文仿宋" w:hint="eastAsia"/>
          <w:color w:val="auto"/>
          <w:sz w:val="28"/>
          <w:szCs w:val="28"/>
          <w:lang w:val="en-US" w:eastAsia="zh-CN"/>
          <w:highlight w:val="auto"/>
        </w:rPr>
      </w:pPr>
      <w:r>
        <w:rPr>
          <w:rFonts w:ascii="华文仿宋" w:eastAsia="华文仿宋" w:cs="华文仿宋" w:hint="eastAsia"/>
          <w:color w:val="auto"/>
          <w:sz w:val="28"/>
          <w:szCs w:val="28"/>
          <w:lang w:val="en-US" w:eastAsia="zh-CN"/>
          <w:highlight w:val="auto"/>
        </w:rPr>
        <w:t>（一）项目概况</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根据金华海关实际情况，进行食堂托管外包经营。具体情况和要求如下：</w:t>
      </w:r>
    </w:p>
    <w:p>
      <w:pPr>
        <w:keepNext w:val="0"/>
        <w:keepLines w:val="0"/>
        <w:pageBreakBefore w:val="0"/>
        <w:widowControl w:val="0"/>
        <w:kinsoku/>
        <w:wordWrap/>
        <w:topLinePunct w:val="0"/>
        <w:bidi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bCs/>
          <w:color w:val="auto"/>
          <w:sz w:val="28"/>
          <w:szCs w:val="28"/>
          <w:lang w:val="en-US" w:eastAsia="zh-CN"/>
          <w:highlight w:val="auto"/>
        </w:rPr>
        <w:t>1.基本情况：（</w:t>
      </w:r>
      <w:r>
        <w:rPr>
          <w:rFonts w:ascii="华文仿宋" w:eastAsia="华文仿宋" w:cs="华文仿宋" w:hint="eastAsia"/>
          <w:color w:val="auto"/>
          <w:sz w:val="28"/>
          <w:szCs w:val="28"/>
          <w:highlight w:val="auto"/>
        </w:rPr>
        <w:t>1</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采购人无偿提供食堂的厨房操作场地和机关干部就餐场地，一次性提供餐务服务所需的正常使用的厨房设备，并保障食堂运行所需的水、电、气等能源供配。供应商须做到厨房设备的文明使用，合同期满须将能正常使用的厨房设备移交采购人。</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2</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采购人免费提供供应商工作期间的正常用餐。</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3</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采购人负责菜肴制作所需的原材料供应和进行成本核算。</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4</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采购人负责餐饮服务外包有关工作的考核和服务费用的支付。</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5</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供应商负责服务人员的组织、分配、使用和操作管理，为采购人的餐饮做好加工制作、就餐供应和服务保障。</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6</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就餐人员的餐费由采购人收取，供应商配合做好刷卡收费服务。</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bCs/>
          <w:color w:val="auto"/>
          <w:sz w:val="28"/>
          <w:szCs w:val="28"/>
          <w:lang w:val="en-US" w:eastAsia="zh-CN"/>
          <w:highlight w:val="auto"/>
        </w:rPr>
        <w:t>2.经营范围：</w:t>
      </w:r>
      <w:r>
        <w:rPr>
          <w:rFonts w:ascii="华文仿宋" w:eastAsia="华文仿宋" w:cs="华文仿宋" w:hint="eastAsia"/>
          <w:color w:val="auto"/>
          <w:sz w:val="28"/>
          <w:szCs w:val="28"/>
          <w:highlight w:val="auto"/>
        </w:rPr>
        <w:t>李渔路大楼食堂包含大餐厅用餐区域及厨房区域和公务接待包厢，建筑面积约为400平方米，其中用餐区域面积180 平方米，可容纳就餐人数位100个；宋濂路大楼食堂包含大餐厅用餐区域及厨房区域，建筑面积约为700平方米，其中用餐区域面积约为350平方米，可容纳就餐人数位160个。</w:t>
      </w:r>
    </w:p>
    <w:p>
      <w:pPr>
        <w:spacing w:line="460" w:lineRule="exact"/>
        <w:ind w:firstLine="482"/>
        <w:rPr>
          <w:rFonts w:ascii="华文仿宋" w:eastAsia="华文仿宋" w:cs="华文仿宋" w:hint="eastAsia"/>
          <w:color w:val="auto"/>
          <w:sz w:val="28"/>
          <w:szCs w:val="28"/>
          <w:highlight w:val="auto"/>
        </w:rPr>
      </w:pPr>
      <w:r>
        <w:rPr>
          <w:rFonts w:ascii="华文仿宋" w:eastAsia="华文仿宋" w:cs="华文仿宋" w:hint="eastAsia"/>
          <w:b/>
          <w:bCs/>
          <w:color w:val="auto"/>
          <w:kern w:val="2"/>
          <w:sz w:val="28"/>
          <w:szCs w:val="28"/>
          <w:lang w:val="en-US" w:eastAsia="zh-CN" w:bidi="ar-SA"/>
          <w:highlight w:val="auto"/>
        </w:rPr>
        <w:t>3.经营期限：</w:t>
      </w:r>
      <w:r>
        <w:rPr>
          <w:rFonts w:ascii="华文仿宋" w:eastAsia="华文仿宋" w:cs="华文仿宋" w:hint="eastAsia"/>
          <w:b w:val="0"/>
          <w:bCs w:val="0"/>
          <w:color w:val="auto"/>
          <w:kern w:val="2"/>
          <w:sz w:val="28"/>
          <w:szCs w:val="28"/>
          <w:lang w:val="en-US" w:eastAsia="zh-CN" w:bidi="ar-SA"/>
          <w:highlight w:val="auto"/>
        </w:rPr>
        <w:t>合同签订后一年，</w:t>
      </w:r>
      <w:r>
        <w:rPr>
          <w:rFonts w:ascii="华文仿宋" w:eastAsia="华文仿宋" w:cs="华文仿宋" w:hint="eastAsia"/>
          <w:color w:val="auto"/>
          <w:sz w:val="28"/>
          <w:szCs w:val="28"/>
          <w:highlight w:val="auto"/>
        </w:rPr>
        <w:t>服务期满经甲方考核合格的可以续签一年的服务合同，是否续签由甲方根据自身需求决定，本条不视为甲方承诺必然可以续签。</w:t>
      </w:r>
    </w:p>
    <w:p>
      <w:pPr>
        <w:pStyle w:val="15"/>
        <w:keepNext w:val="0"/>
        <w:keepLines w:val="0"/>
        <w:pageBreakBefore w:val="0"/>
        <w:widowControl w:val="0"/>
        <w:kinsoku/>
        <w:wordWrap/>
        <w:overflowPunct/>
        <w:topLinePunct w:val="0"/>
        <w:autoSpaceDE/>
        <w:autoSpaceDN/>
        <w:bidi w:val="0"/>
        <w:adjustRightInd/>
        <w:snapToGrid/>
        <w:spacing w:after="0" w:line="460" w:lineRule="exact"/>
        <w:ind w:firstLineChars="200" w:firstLine="560"/>
        <w:textAlignment w:val="auto"/>
        <w:rPr>
          <w:rFonts w:ascii="华文仿宋" w:eastAsia="华文仿宋" w:cs="华文仿宋" w:hint="eastAsia"/>
          <w:color w:val="auto"/>
          <w:sz w:val="28"/>
          <w:szCs w:val="28"/>
          <w:lang w:val="en-US"/>
          <w:highlight w:val="auto"/>
        </w:rPr>
      </w:pPr>
      <w:r>
        <w:rPr>
          <w:rFonts w:ascii="华文仿宋" w:eastAsia="华文仿宋" w:cs="华文仿宋" w:hint="eastAsia"/>
          <w:b/>
          <w:bCs/>
          <w:color w:val="auto"/>
          <w:kern w:val="2"/>
          <w:sz w:val="28"/>
          <w:szCs w:val="28"/>
          <w:lang w:val="en-US" w:eastAsia="zh-CN" w:bidi="ar-SA"/>
          <w:highlight w:val="auto"/>
        </w:rPr>
        <w:t>4.经营地点：</w:t>
      </w:r>
      <w:r>
        <w:rPr>
          <w:rFonts w:ascii="华文仿宋" w:eastAsia="华文仿宋" w:cs="华文仿宋" w:hint="eastAsia"/>
          <w:b w:val="0"/>
          <w:bCs w:val="0"/>
          <w:color w:val="auto"/>
          <w:kern w:val="2"/>
          <w:sz w:val="28"/>
          <w:szCs w:val="28"/>
          <w:lang w:val="en-US" w:eastAsia="zh-CN" w:bidi="ar-SA"/>
          <w:highlight w:val="auto"/>
        </w:rPr>
        <w:t>由采购人指定地点。</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jc w:val="both"/>
        <w:textAlignment w:val="auto"/>
        <w:rPr>
          <w:rFonts w:ascii="华文仿宋" w:eastAsia="华文仿宋" w:cs="华文仿宋" w:hint="eastAsia"/>
          <w:color w:val="auto"/>
          <w:sz w:val="28"/>
          <w:szCs w:val="28"/>
          <w:lang w:val="en-US" w:eastAsia="zh-CN"/>
          <w:highlight w:val="auto"/>
        </w:rPr>
      </w:pPr>
      <w:r>
        <w:rPr>
          <w:rFonts w:ascii="华文仿宋" w:eastAsia="华文仿宋" w:cs="华文仿宋" w:hint="eastAsia"/>
          <w:color w:val="auto"/>
          <w:sz w:val="28"/>
          <w:szCs w:val="28"/>
          <w:lang w:val="en-US" w:eastAsia="zh-CN"/>
          <w:highlight w:val="auto"/>
        </w:rPr>
        <w:t>（二）采购项目预算金额（最高限价）</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jc w:val="both"/>
        <w:textAlignment w:val="auto"/>
        <w:rPr>
          <w:rFonts w:ascii="华文仿宋" w:eastAsia="华文仿宋" w:cs="华文仿宋" w:hint="eastAsia"/>
          <w:color w:val="auto"/>
          <w:sz w:val="28"/>
          <w:szCs w:val="28"/>
          <w:lang w:val="en-US" w:eastAsia="zh-CN"/>
          <w:highlight w:val="auto"/>
        </w:rPr>
      </w:pPr>
      <w:r>
        <w:rPr>
          <w:rFonts w:ascii="华文仿宋" w:eastAsia="华文仿宋" w:cs="华文仿宋" w:hint="eastAsia"/>
          <w:color w:val="auto"/>
          <w:sz w:val="28"/>
          <w:szCs w:val="28"/>
          <w:lang w:val="en-US" w:eastAsia="zh-CN"/>
          <w:highlight w:val="auto"/>
        </w:rPr>
        <w:t>本项目采购预算（最高限价）：130万元。</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jc w:val="both"/>
        <w:textAlignment w:val="auto"/>
        <w:rPr>
          <w:rFonts w:ascii="华文仿宋" w:eastAsia="华文仿宋" w:cs="华文仿宋" w:hint="eastAsia"/>
          <w:color w:val="auto"/>
          <w:sz w:val="28"/>
          <w:szCs w:val="28"/>
          <w:lang w:val="en-US" w:eastAsia="zh-CN"/>
          <w:highlight w:val="auto"/>
        </w:rPr>
      </w:pPr>
      <w:r>
        <w:rPr>
          <w:rFonts w:ascii="华文仿宋" w:eastAsia="华文仿宋" w:cs="华文仿宋" w:hint="eastAsia"/>
          <w:color w:val="auto"/>
          <w:sz w:val="28"/>
          <w:szCs w:val="28"/>
          <w:lang w:val="en-US" w:eastAsia="zh-CN"/>
          <w:highlight w:val="auto"/>
        </w:rPr>
        <w:t>（三）采购标的汇总表</w:t>
      </w:r>
    </w:p>
    <w:tbl>
      <w:tblPr>
        <w:jc w:val="left"/>
        <w:tblInd w:w="0" w:type="dxa"/>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9"/>
        <w:gridCol w:w="857"/>
        <w:gridCol w:w="1651"/>
        <w:gridCol w:w="1905"/>
        <w:gridCol w:w="1005"/>
        <w:gridCol w:w="666"/>
        <w:gridCol w:w="878"/>
        <w:gridCol w:w="1121"/>
        <w:gridCol w:w="503"/>
      </w:tblGrid>
      <w:tr>
        <w:trPr>
          <w:trHeight w:val="591"/>
        </w:trPr>
        <w:tc>
          <w:tcPr>
            <w:tcW w:w="4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包号</w:t>
            </w:r>
          </w:p>
        </w:tc>
        <w:tc>
          <w:tcPr>
            <w:tcW w:w="85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标的序号</w:t>
            </w:r>
          </w:p>
        </w:tc>
        <w:tc>
          <w:tcPr>
            <w:tcW w:w="16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标的名称</w:t>
            </w: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品目分类代码</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计量单位</w:t>
            </w:r>
          </w:p>
        </w:tc>
        <w:tc>
          <w:tcPr>
            <w:tcW w:w="66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数量</w:t>
            </w:r>
          </w:p>
        </w:tc>
        <w:tc>
          <w:tcPr>
            <w:tcW w:w="8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是否进口</w:t>
            </w:r>
          </w:p>
        </w:tc>
        <w:tc>
          <w:tcPr>
            <w:tcW w:w="112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是否创新品牌</w:t>
            </w:r>
          </w:p>
        </w:tc>
        <w:tc>
          <w:tcPr>
            <w:tcW w:w="5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预留</w:t>
            </w:r>
          </w:p>
        </w:tc>
      </w:tr>
      <w:tr>
        <w:trPr>
          <w:trHeight w:val="774"/>
        </w:trPr>
        <w:tc>
          <w:tcPr>
            <w:tcW w:w="429" w:type="dxa"/>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1</w:t>
            </w:r>
          </w:p>
        </w:tc>
        <w:tc>
          <w:tcPr>
            <w:tcW w:w="857" w:type="dxa"/>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1</w:t>
            </w:r>
          </w:p>
        </w:tc>
        <w:tc>
          <w:tcPr>
            <w:tcW w:w="1651" w:type="dxa"/>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kern w:val="0"/>
                <w:sz w:val="28"/>
                <w:szCs w:val="28"/>
                <w:highlight w:val="auto"/>
              </w:rPr>
              <w:t>金华海关食堂服务外包项目</w:t>
            </w:r>
          </w:p>
        </w:tc>
        <w:tc>
          <w:tcPr>
            <w:tcW w:w="1905" w:type="dxa"/>
          </w:tcPr>
          <w:p>
            <w:pPr>
              <w:keepNext w:val="0"/>
              <w:keepLines w:val="0"/>
              <w:widowControl/>
              <w:numPr>
                <w:ilvl w:val="0"/>
                <w:numId w:val="1"/>
              </w:numPr>
              <w:suppressLineNumbers w:val="0"/>
              <w:pBdr>
                <w:top w:val="none" w:sz="0" w:space="0" w:color="auto"/>
                <w:left w:val="none" w:sz="0" w:space="0" w:color="auto"/>
                <w:bottom w:val="none" w:sz="0" w:space="0" w:color="auto"/>
                <w:right w:val="none" w:sz="0" w:space="0" w:color="auto"/>
              </w:pBdr>
              <w:spacing w:before="48" w:beforeAutospacing="0" w:after="0" w:afterAutospacing="0"/>
              <w:ind w:left="0" w:right="0" w:hanging="360"/>
              <w:jc w:val="left"/>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kern w:val="0"/>
                <w:sz w:val="28"/>
                <w:szCs w:val="28"/>
                <w:highlight w:val="auto"/>
              </w:rPr>
              <w:t>C22040000餐饮服务</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1</w:t>
            </w:r>
          </w:p>
        </w:tc>
        <w:tc>
          <w:tcPr>
            <w:tcW w:w="666"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项</w:t>
            </w:r>
          </w:p>
        </w:tc>
        <w:tc>
          <w:tcPr>
            <w:tcW w:w="87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否</w:t>
            </w:r>
          </w:p>
        </w:tc>
        <w:tc>
          <w:tcPr>
            <w:tcW w:w="1121"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否</w:t>
            </w:r>
          </w:p>
        </w:tc>
        <w:tc>
          <w:tcPr>
            <w:tcW w:w="503"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华文仿宋" w:eastAsia="华文仿宋" w:cs="华文仿宋" w:hint="eastAsia"/>
                <w:color w:val="auto"/>
                <w:sz w:val="28"/>
                <w:szCs w:val="28"/>
                <w:vertAlign w:val="baseline"/>
                <w:lang w:val="en-US" w:eastAsia="zh-CN"/>
                <w:highlight w:val="auto"/>
              </w:rPr>
            </w:pPr>
            <w:r>
              <w:rPr>
                <w:rFonts w:ascii="华文仿宋" w:eastAsia="华文仿宋" w:cs="华文仿宋" w:hint="eastAsia"/>
                <w:color w:val="auto"/>
                <w:sz w:val="28"/>
                <w:szCs w:val="28"/>
                <w:vertAlign w:val="baseline"/>
                <w:lang w:val="en-US" w:eastAsia="zh-CN"/>
                <w:highlight w:val="auto"/>
              </w:rPr>
              <w:t>是</w:t>
            </w:r>
          </w:p>
        </w:tc>
      </w:tr>
    </w:tbl>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jc w:val="both"/>
        <w:textAlignment w:val="auto"/>
        <w:rPr>
          <w:rFonts w:ascii="华文仿宋" w:eastAsia="华文仿宋" w:cs="华文仿宋" w:hint="eastAsia"/>
          <w:color w:val="auto"/>
          <w:sz w:val="28"/>
          <w:szCs w:val="28"/>
          <w:lang w:val="en-US" w:eastAsia="zh-CN"/>
          <w:highlight w:val="auto"/>
        </w:rPr>
      </w:pPr>
      <w:r>
        <w:rPr>
          <w:rFonts w:ascii="华文仿宋" w:eastAsia="华文仿宋" w:cs="华文仿宋" w:hint="eastAsia"/>
          <w:color w:val="auto"/>
          <w:sz w:val="28"/>
          <w:szCs w:val="28"/>
          <w:lang w:val="en-US" w:eastAsia="zh-CN"/>
          <w:highlight w:val="auto"/>
        </w:rPr>
        <w:t>（四）需求标准、技术参数和服务要求，商务要求</w:t>
      </w:r>
    </w:p>
    <w:p>
      <w:pPr>
        <w:keepNext w:val="0"/>
        <w:keepLines w:val="0"/>
        <w:pageBreakBefore w:val="0"/>
        <w:widowControl w:val="0"/>
        <w:kinsoku/>
        <w:wordWrap/>
        <w:topLinePunct w:val="0"/>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val="en-US" w:eastAsia="zh-CN"/>
          <w:highlight w:val="auto"/>
        </w:rPr>
        <w:t>1</w:t>
      </w:r>
      <w:r>
        <w:rPr>
          <w:rFonts w:ascii="华文仿宋" w:eastAsia="华文仿宋" w:cs="华文仿宋" w:hint="eastAsia"/>
          <w:color w:val="auto"/>
          <w:sz w:val="28"/>
          <w:szCs w:val="28"/>
          <w:highlight w:val="auto"/>
        </w:rPr>
        <w:t>.服务内容：</w:t>
      </w:r>
    </w:p>
    <w:p>
      <w:pPr>
        <w:keepNext w:val="0"/>
        <w:keepLines w:val="0"/>
        <w:pageBreakBefore w:val="0"/>
        <w:widowControl w:val="0"/>
        <w:kinsoku/>
        <w:wordWrap/>
        <w:topLinePunct w:val="0"/>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highlight w:val="auto"/>
        </w:rPr>
        <w:t>（1）李渔路食堂主要保障李渔路机关大楼工作人员的早、中、晚三餐的就餐及早中晚三餐的面点供应等。食堂实行半自助供餐模式，中餐提供水果供应服务。就餐人员排队刷卡就餐。早餐就餐时间为：07:30-8:30，中餐就餐时间为：12:00-13:00，晚餐就餐时间为：17:</w:t>
      </w:r>
      <w:r>
        <w:rPr>
          <w:rFonts w:ascii="华文仿宋" w:eastAsia="华文仿宋" w:cs="华文仿宋" w:hint="eastAsia"/>
          <w:color w:val="auto"/>
          <w:sz w:val="28"/>
          <w:szCs w:val="28"/>
          <w:lang w:val="en-US" w:eastAsia="zh-CN"/>
          <w:highlight w:val="auto"/>
        </w:rPr>
        <w:t>30</w:t>
      </w:r>
      <w:r>
        <w:rPr>
          <w:rFonts w:ascii="华文仿宋" w:eastAsia="华文仿宋" w:cs="华文仿宋" w:hint="eastAsia"/>
          <w:color w:val="auto"/>
          <w:sz w:val="28"/>
          <w:szCs w:val="28"/>
          <w:highlight w:val="auto"/>
        </w:rPr>
        <w:t>-18:</w:t>
      </w:r>
      <w:r>
        <w:rPr>
          <w:rFonts w:ascii="华文仿宋" w:eastAsia="华文仿宋" w:cs="华文仿宋" w:hint="eastAsia"/>
          <w:color w:val="auto"/>
          <w:sz w:val="28"/>
          <w:szCs w:val="28"/>
          <w:lang w:val="en-US" w:eastAsia="zh-CN"/>
          <w:highlight w:val="auto"/>
        </w:rPr>
        <w:t>3</w:t>
      </w:r>
      <w:r>
        <w:rPr>
          <w:rFonts w:ascii="华文仿宋" w:eastAsia="华文仿宋" w:cs="华文仿宋" w:hint="eastAsia"/>
          <w:color w:val="auto"/>
          <w:sz w:val="28"/>
          <w:szCs w:val="28"/>
          <w:highlight w:val="auto"/>
        </w:rPr>
        <w:t>0。目前就餐人数平均值为早餐约80人，中餐约100人、晚餐约</w:t>
      </w:r>
      <w:r>
        <w:rPr>
          <w:rFonts w:ascii="华文仿宋" w:eastAsia="华文仿宋" w:cs="华文仿宋" w:hint="eastAsia"/>
          <w:color w:val="auto"/>
          <w:sz w:val="28"/>
          <w:szCs w:val="28"/>
          <w:lang w:val="en-US" w:eastAsia="zh-CN"/>
          <w:highlight w:val="auto"/>
        </w:rPr>
        <w:t>7</w:t>
      </w:r>
      <w:r>
        <w:rPr>
          <w:rFonts w:ascii="华文仿宋" w:eastAsia="华文仿宋" w:cs="华文仿宋" w:hint="eastAsia"/>
          <w:color w:val="auto"/>
          <w:sz w:val="28"/>
          <w:szCs w:val="28"/>
          <w:highlight w:val="auto"/>
        </w:rPr>
        <w:t>0人，开餐时间如需调整按照甲方规定实行。</w:t>
      </w:r>
    </w:p>
    <w:p>
      <w:pPr>
        <w:keepNext w:val="0"/>
        <w:keepLines w:val="0"/>
        <w:pageBreakBefore w:val="0"/>
        <w:widowControl w:val="0"/>
        <w:kinsoku/>
        <w:wordWrap/>
        <w:topLinePunct w:val="0"/>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highlight w:val="auto"/>
        </w:rPr>
        <w:t>（2）李渔路食堂提供包厢用餐接待服务。</w:t>
      </w:r>
    </w:p>
    <w:p>
      <w:pPr>
        <w:keepNext w:val="0"/>
        <w:keepLines w:val="0"/>
        <w:pageBreakBefore w:val="0"/>
        <w:widowControl w:val="0"/>
        <w:kinsoku/>
        <w:wordWrap/>
        <w:topLinePunct w:val="0"/>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highlight w:val="auto"/>
        </w:rPr>
        <w:t>（3）宋濂路大楼食堂主要保障宋濂路机关大楼内工作人员工作日的早、中餐以及及早中二餐的面点供应等。食堂实行半自助供餐模式，中餐提供水果供应服务。就餐人员排队刷卡就餐。早餐就餐时间为：07:30-8:30，中餐就餐时间为：12:00-13:00。目前就餐人数平均值为早餐约100人，中餐约120人，开餐时间如需调整按照甲方规定实行。</w:t>
      </w:r>
    </w:p>
    <w:p>
      <w:pPr>
        <w:keepNext w:val="0"/>
        <w:keepLines w:val="0"/>
        <w:pageBreakBefore w:val="0"/>
        <w:widowControl w:val="0"/>
        <w:kinsoku/>
        <w:wordWrap/>
        <w:topLinePunct w:val="0"/>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highlight w:val="auto"/>
        </w:rPr>
        <w:t>（4）完成金华海关重大会议、活动用餐保障及临时性用餐服务。</w:t>
      </w:r>
    </w:p>
    <w:p>
      <w:pPr>
        <w:keepNext w:val="0"/>
        <w:keepLines w:val="0"/>
        <w:pageBreakBefore w:val="0"/>
        <w:widowControl w:val="0"/>
        <w:kinsoku/>
        <w:wordWrap/>
        <w:topLinePunct w:val="0"/>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highlight w:val="auto"/>
        </w:rPr>
        <w:t>（5）以上服务供应如果需要变化按照采购人的要求进行协商调整。</w:t>
      </w:r>
    </w:p>
    <w:p>
      <w:pPr>
        <w:keepNext w:val="0"/>
        <w:keepLines w:val="0"/>
        <w:pageBreakBefore w:val="0"/>
        <w:widowControl w:val="0"/>
        <w:kinsoku/>
        <w:wordWrap/>
        <w:topLinePunct w:val="0"/>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val="en-US" w:eastAsia="zh-CN"/>
          <w:highlight w:val="auto"/>
        </w:rPr>
        <w:t>2</w:t>
      </w:r>
      <w:r>
        <w:rPr>
          <w:rFonts w:ascii="华文仿宋" w:eastAsia="华文仿宋" w:cs="华文仿宋" w:hint="eastAsia"/>
          <w:color w:val="auto"/>
          <w:sz w:val="28"/>
          <w:szCs w:val="28"/>
          <w:highlight w:val="auto"/>
        </w:rPr>
        <w:t>.其他：</w:t>
      </w:r>
    </w:p>
    <w:p>
      <w:pPr>
        <w:keepNext w:val="0"/>
        <w:keepLines w:val="0"/>
        <w:pageBreakBefore w:val="0"/>
        <w:widowControl w:val="0"/>
        <w:kinsoku/>
        <w:wordWrap/>
        <w:topLinePunct w:val="0"/>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highlight w:val="auto"/>
        </w:rPr>
        <w:t xml:space="preserve">遇突发事件或安全检查时，承包方必须配合有关部门执行任务（包括双休日及法定节假日），并指定专职人员协助工作，直至完成。 </w:t>
      </w:r>
    </w:p>
    <w:p>
      <w:pPr>
        <w:keepNext w:val="0"/>
        <w:keepLines w:val="0"/>
        <w:pageBreakBefore w:val="0"/>
        <w:widowControl w:val="0"/>
        <w:kinsoku/>
        <w:wordWrap/>
        <w:topLinePunct w:val="0"/>
        <w:bidi w:val="0"/>
        <w:adjustRightInd w:val="0"/>
        <w:snapToGrid w:val="0"/>
        <w:spacing w:line="460" w:lineRule="exact"/>
        <w:ind w:firstLineChars="200" w:firstLine="560"/>
        <w:textAlignment w:val="auto"/>
        <w:rPr>
          <w:rFonts w:ascii="华文仿宋" w:eastAsia="华文仿宋" w:cs="华文仿宋" w:hint="eastAsia"/>
          <w:b/>
          <w:bCs/>
          <w:color w:val="auto"/>
          <w:kern w:val="44"/>
          <w:sz w:val="28"/>
          <w:szCs w:val="28"/>
          <w:highlight w:val="auto"/>
        </w:rPr>
      </w:pPr>
      <w:r>
        <w:rPr>
          <w:rFonts w:ascii="华文仿宋" w:eastAsia="华文仿宋" w:cs="华文仿宋" w:hint="eastAsia"/>
          <w:b/>
          <w:bCs/>
          <w:color w:val="auto"/>
          <w:kern w:val="44"/>
          <w:sz w:val="28"/>
          <w:szCs w:val="28"/>
          <w:lang w:val="en-US" w:eastAsia="zh-CN"/>
          <w:highlight w:val="auto"/>
        </w:rPr>
        <w:t>3.</w:t>
      </w:r>
      <w:r>
        <w:rPr>
          <w:rFonts w:ascii="华文仿宋" w:eastAsia="华文仿宋" w:cs="华文仿宋" w:hint="eastAsia"/>
          <w:b/>
          <w:bCs/>
          <w:color w:val="auto"/>
          <w:kern w:val="44"/>
          <w:sz w:val="28"/>
          <w:szCs w:val="28"/>
          <w:highlight w:val="auto"/>
        </w:rPr>
        <w:t>菜肴品质方面</w:t>
      </w:r>
    </w:p>
    <w:p>
      <w:pPr>
        <w:keepNext w:val="0"/>
        <w:keepLines w:val="0"/>
        <w:pageBreakBefore w:val="0"/>
        <w:widowControl w:val="0"/>
        <w:kinsoku/>
        <w:wordWrap/>
        <w:topLinePunct w:val="0"/>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1</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丰富菜肴品种，不断推陈出新。根据采购人需求适时更换厨师，每周须推出1-2个创新菜。菜肴精致可口，适合用餐人员口味。保证食材选用的优质，烧制口味的鲜美，供应菜品的多样。配合甲方做好特质菜品的采购，实地考察形成“优质菜品采购圈”，保证随时供应。</w:t>
      </w:r>
    </w:p>
    <w:p>
      <w:pPr>
        <w:keepNext w:val="0"/>
        <w:keepLines w:val="0"/>
        <w:pageBreakBefore w:val="0"/>
        <w:widowControl w:val="0"/>
        <w:kinsoku/>
        <w:wordWrap/>
        <w:topLinePunct w:val="0"/>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2</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食堂早餐除提供粥、豆浆、牛奶、营养粥外，其他品种不得少于12 种，小菜不少于4种；中餐菜肴品种在开制“周菜单”时保证每日菜品不同，每天不少于5个荤菜和5个素菜；保证晚餐供应菜品的新鲜度，晚餐不少于3个荤菜和3个素菜。早餐与中、晚餐的菜肴做到勤变换，按季节及时调整时令菜品，定期推出特色菜或新菜，每餐菜肴要求荤素搭配均衡、营养安排合理。</w:t>
      </w:r>
    </w:p>
    <w:p>
      <w:pPr>
        <w:keepNext w:val="0"/>
        <w:keepLines w:val="0"/>
        <w:pageBreakBefore w:val="0"/>
        <w:widowControl w:val="0"/>
        <w:kinsoku/>
        <w:wordWrap/>
        <w:topLinePunct w:val="0"/>
        <w:bidi w:val="0"/>
        <w:adjustRightInd w:val="0"/>
        <w:snapToGrid w:val="0"/>
        <w:spacing w:line="460" w:lineRule="exact"/>
        <w:ind w:firstLineChars="200" w:firstLine="560"/>
        <w:textAlignment w:val="auto"/>
        <w:rPr>
          <w:rFonts w:ascii="华文仿宋" w:eastAsia="华文仿宋" w:cs="华文仿宋" w:hint="eastAsia"/>
          <w:b/>
          <w:bCs/>
          <w:color w:val="auto"/>
          <w:kern w:val="44"/>
          <w:sz w:val="28"/>
          <w:szCs w:val="28"/>
          <w:highlight w:val="auto"/>
        </w:rPr>
      </w:pPr>
      <w:bookmarkStart w:id="3" w:name="_Toc416098592"/>
      <w:r>
        <w:rPr>
          <w:rFonts w:ascii="华文仿宋" w:eastAsia="华文仿宋" w:cs="华文仿宋" w:hint="eastAsia"/>
          <w:b/>
          <w:bCs/>
          <w:color w:val="auto"/>
          <w:kern w:val="44"/>
          <w:sz w:val="28"/>
          <w:szCs w:val="28"/>
          <w:lang w:val="en-US" w:eastAsia="zh-CN"/>
          <w:highlight w:val="auto"/>
        </w:rPr>
        <w:t>4.</w:t>
      </w:r>
      <w:r>
        <w:rPr>
          <w:rFonts w:ascii="华文仿宋" w:eastAsia="华文仿宋" w:cs="华文仿宋" w:hint="eastAsia"/>
          <w:b/>
          <w:bCs/>
          <w:color w:val="auto"/>
          <w:kern w:val="44"/>
          <w:sz w:val="28"/>
          <w:szCs w:val="28"/>
          <w:highlight w:val="auto"/>
        </w:rPr>
        <w:t>人员配备</w:t>
      </w:r>
      <w:bookmarkEnd w:id="3"/>
      <w:r>
        <w:rPr>
          <w:rFonts w:ascii="华文仿宋" w:eastAsia="华文仿宋" w:cs="华文仿宋" w:hint="eastAsia"/>
          <w:b/>
          <w:bCs/>
          <w:color w:val="auto"/>
          <w:kern w:val="44"/>
          <w:sz w:val="28"/>
          <w:szCs w:val="28"/>
          <w:highlight w:val="auto"/>
        </w:rPr>
        <w:t>方面</w:t>
      </w:r>
    </w:p>
    <w:p>
      <w:pPr>
        <w:keepNext w:val="0"/>
        <w:keepLines w:val="0"/>
        <w:pageBreakBefore w:val="0"/>
        <w:widowControl w:val="0"/>
        <w:kinsoku/>
        <w:wordWrap/>
        <w:topLinePunct w:val="0"/>
        <w:bidi w:val="0"/>
        <w:adjustRightInd w:val="0"/>
        <w:snapToGrid w:val="0"/>
        <w:spacing w:line="460" w:lineRule="exact"/>
        <w:ind w:firstLineChars="182" w:firstLine="510"/>
        <w:textAlignment w:val="auto"/>
        <w:rPr>
          <w:rFonts w:ascii="华文仿宋" w:eastAsia="华文仿宋" w:cs="华文仿宋" w:hint="eastAsia"/>
          <w:b/>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1</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为保证餐厅和包厢的菜肴品种、质量，供应商必须选派高水平的厨师长，高素质的服务员、管理骨干和厨师人员，服务人数与就餐人数配备比例合理。</w:t>
      </w:r>
      <w:r>
        <w:rPr>
          <w:rFonts w:ascii="华文仿宋" w:eastAsia="华文仿宋" w:cs="华文仿宋" w:hint="eastAsia"/>
          <w:b/>
          <w:color w:val="auto"/>
          <w:sz w:val="28"/>
          <w:szCs w:val="28"/>
          <w:highlight w:val="auto"/>
        </w:rPr>
        <w:t>实</w:t>
      </w:r>
      <w:r>
        <w:rPr>
          <w:rFonts w:ascii="华文仿宋" w:eastAsia="华文仿宋" w:cs="华文仿宋" w:hint="eastAsia"/>
          <w:b/>
          <w:bCs/>
          <w:color w:val="auto"/>
          <w:sz w:val="28"/>
          <w:szCs w:val="28"/>
          <w:highlight w:val="auto"/>
        </w:rPr>
        <w:t>际人数不得低于1</w:t>
      </w:r>
      <w:r>
        <w:rPr>
          <w:rFonts w:ascii="华文仿宋" w:eastAsia="华文仿宋" w:cs="华文仿宋" w:hint="eastAsia"/>
          <w:b/>
          <w:bCs/>
          <w:color w:val="auto"/>
          <w:sz w:val="28"/>
          <w:szCs w:val="28"/>
          <w:lang w:val="en-US" w:eastAsia="zh-CN"/>
          <w:highlight w:val="auto"/>
        </w:rPr>
        <w:t>4</w:t>
      </w:r>
      <w:r>
        <w:rPr>
          <w:rFonts w:ascii="华文仿宋" w:eastAsia="华文仿宋" w:cs="华文仿宋" w:hint="eastAsia"/>
          <w:b/>
          <w:bCs/>
          <w:color w:val="auto"/>
          <w:sz w:val="28"/>
          <w:szCs w:val="28"/>
          <w:highlight w:val="auto"/>
        </w:rPr>
        <w:t>人的总人数要求。</w:t>
      </w:r>
    </w:p>
    <w:p>
      <w:pPr>
        <w:keepNext w:val="0"/>
        <w:keepLines w:val="0"/>
        <w:pageBreakBefore w:val="0"/>
        <w:widowControl w:val="0"/>
        <w:kinsoku/>
        <w:wordWrap/>
        <w:topLinePunct w:val="0"/>
        <w:bidi w:val="0"/>
        <w:adjustRightInd w:val="0"/>
        <w:snapToGrid w:val="0"/>
        <w:spacing w:line="460" w:lineRule="exact"/>
        <w:ind w:firstLineChars="182" w:firstLine="510"/>
        <w:textAlignment w:val="auto"/>
        <w:rPr>
          <w:rFonts w:ascii="华文仿宋" w:eastAsia="华文仿宋" w:cs="华文仿宋" w:hint="eastAsia"/>
          <w:b/>
          <w:color w:val="auto"/>
          <w:sz w:val="28"/>
          <w:szCs w:val="28"/>
          <w:highlight w:val="auto"/>
        </w:rPr>
      </w:pPr>
      <w:r>
        <w:rPr>
          <w:rFonts w:ascii="华文仿宋" w:eastAsia="华文仿宋" w:cs="华文仿宋" w:hint="eastAsia"/>
          <w:b/>
          <w:bCs/>
          <w:color w:val="auto"/>
          <w:sz w:val="28"/>
          <w:szCs w:val="28"/>
          <w:lang w:eastAsia="zh-CN"/>
          <w:highlight w:val="auto"/>
        </w:rPr>
        <w:t>（</w:t>
      </w:r>
      <w:r>
        <w:rPr>
          <w:rFonts w:ascii="华文仿宋" w:eastAsia="华文仿宋" w:cs="华文仿宋" w:hint="eastAsia"/>
          <w:b/>
          <w:bCs/>
          <w:color w:val="auto"/>
          <w:sz w:val="28"/>
          <w:szCs w:val="28"/>
          <w:highlight w:val="auto"/>
        </w:rPr>
        <w:t>2</w:t>
      </w:r>
      <w:r>
        <w:rPr>
          <w:rFonts w:ascii="华文仿宋" w:eastAsia="华文仿宋" w:cs="华文仿宋" w:hint="eastAsia"/>
          <w:b/>
          <w:bCs/>
          <w:color w:val="auto"/>
          <w:sz w:val="28"/>
          <w:szCs w:val="28"/>
          <w:lang w:eastAsia="zh-CN"/>
          <w:highlight w:val="auto"/>
        </w:rPr>
        <w:t>）</w:t>
      </w:r>
      <w:r>
        <w:rPr>
          <w:rFonts w:ascii="华文仿宋" w:eastAsia="华文仿宋" w:cs="华文仿宋" w:hint="eastAsia"/>
          <w:b/>
          <w:bCs/>
          <w:color w:val="auto"/>
          <w:sz w:val="28"/>
          <w:szCs w:val="28"/>
          <w:highlight w:val="auto"/>
        </w:rPr>
        <w:t>供</w:t>
      </w:r>
      <w:r>
        <w:rPr>
          <w:rFonts w:ascii="华文仿宋" w:eastAsia="华文仿宋" w:cs="华文仿宋" w:hint="eastAsia"/>
          <w:b/>
          <w:color w:val="auto"/>
          <w:sz w:val="28"/>
          <w:szCs w:val="28"/>
          <w:highlight w:val="auto"/>
        </w:rPr>
        <w:t>应商工作人员必须进行岗前培训，并取得“预防性健康体检合格证”后，方可上岗。</w:t>
      </w:r>
    </w:p>
    <w:p>
      <w:pPr>
        <w:keepNext w:val="0"/>
        <w:keepLines w:val="0"/>
        <w:pageBreakBefore w:val="0"/>
        <w:widowControl w:val="0"/>
        <w:kinsoku/>
        <w:wordWrap/>
        <w:topLinePunct w:val="0"/>
        <w:bidi w:val="0"/>
        <w:adjustRightInd w:val="0"/>
        <w:snapToGrid w:val="0"/>
        <w:spacing w:line="460" w:lineRule="exact"/>
        <w:ind w:firstLineChars="182" w:firstLine="51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3</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供应商在开始营业前必须向采购人递交食堂工作人员花名册、岗位分工情况表、员工劳动合同复印件、健康证复印件和厨师等级证复印件等证件。</w:t>
      </w:r>
    </w:p>
    <w:p>
      <w:pPr>
        <w:keepNext w:val="0"/>
        <w:keepLines w:val="0"/>
        <w:pageBreakBefore w:val="0"/>
        <w:widowControl w:val="0"/>
        <w:kinsoku/>
        <w:wordWrap/>
        <w:topLinePunct w:val="0"/>
        <w:bidi w:val="0"/>
        <w:adjustRightInd w:val="0"/>
        <w:snapToGrid w:val="0"/>
        <w:spacing w:line="460" w:lineRule="exact"/>
        <w:ind w:firstLineChars="182" w:firstLine="51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4</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具体人员配备要求如下（参考要求）：</w:t>
      </w:r>
    </w:p>
    <w:tbl>
      <w:tblPr>
        <w:jc w:val="center"/>
        <w:tblW w:w="10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80"/>
        <w:gridCol w:w="1590"/>
        <w:gridCol w:w="1275"/>
        <w:gridCol w:w="6000"/>
      </w:tblGrid>
      <w:tr>
        <w:trPr>
          <w:trHeight w:val="110"/>
        </w:trPr>
        <w:tc>
          <w:tcPr>
            <w:tcW w:w="148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部门</w:t>
            </w:r>
          </w:p>
        </w:tc>
        <w:tc>
          <w:tcPr>
            <w:tcW w:w="159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岗位</w:t>
            </w:r>
          </w:p>
        </w:tc>
        <w:tc>
          <w:tcPr>
            <w:tcW w:w="1275" w:type="dxa"/>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要求配备人员数量</w:t>
            </w:r>
          </w:p>
        </w:tc>
        <w:tc>
          <w:tcPr>
            <w:tcW w:w="6000" w:type="dxa"/>
            <w:noWrap/>
            <w:vAlign w:val="center"/>
          </w:tcPr>
          <w:p>
            <w:pPr>
              <w:adjustRightInd w:val="0"/>
              <w:snapToGrid w:val="0"/>
              <w:ind w:firstLineChars="182" w:firstLine="510"/>
              <w:jc w:val="center"/>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人员素质要求</w:t>
            </w:r>
          </w:p>
        </w:tc>
      </w:tr>
      <w:tr>
        <w:trPr>
          <w:trHeight w:val="619"/>
        </w:trPr>
        <w:tc>
          <w:tcPr>
            <w:tcW w:w="148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p>
        </w:tc>
        <w:tc>
          <w:tcPr>
            <w:tcW w:w="1590" w:type="dxa"/>
            <w:noWrap/>
            <w:vAlign w:val="center"/>
          </w:tcPr>
          <w:p>
            <w:pPr>
              <w:adjustRightInd w:val="0"/>
              <w:snapToGrid w:val="0"/>
              <w:jc w:val="center"/>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项目负责人</w:t>
            </w:r>
          </w:p>
        </w:tc>
        <w:tc>
          <w:tcPr>
            <w:tcW w:w="1275" w:type="dxa"/>
            <w:noWrap/>
            <w:vAlign w:val="center"/>
          </w:tcPr>
          <w:p>
            <w:pPr>
              <w:adjustRightInd w:val="0"/>
              <w:snapToGrid w:val="0"/>
              <w:jc w:val="center"/>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1人</w:t>
            </w:r>
          </w:p>
        </w:tc>
        <w:tc>
          <w:tcPr>
            <w:tcW w:w="6000" w:type="dxa"/>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负责项目全面管理工作，要求45周岁以内，具备三年以上项目经理工作经验（从事酒店管理或行政事业单位食堂管理）。</w:t>
            </w:r>
          </w:p>
        </w:tc>
      </w:tr>
      <w:tr>
        <w:trPr>
          <w:trHeight w:val="1143"/>
        </w:trPr>
        <w:tc>
          <w:tcPr>
            <w:tcW w:w="1480" w:type="dxa"/>
            <w:vMerge w:val="restart"/>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李渔路食堂</w:t>
            </w:r>
          </w:p>
        </w:tc>
        <w:tc>
          <w:tcPr>
            <w:tcW w:w="159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厨师长</w:t>
            </w:r>
          </w:p>
        </w:tc>
        <w:tc>
          <w:tcPr>
            <w:tcW w:w="1275" w:type="dxa"/>
            <w:noWrap/>
            <w:vAlign w:val="center"/>
          </w:tcPr>
          <w:p>
            <w:pPr>
              <w:adjustRightInd w:val="0"/>
              <w:snapToGrid w:val="0"/>
              <w:jc w:val="center"/>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1人</w:t>
            </w:r>
          </w:p>
        </w:tc>
        <w:tc>
          <w:tcPr>
            <w:tcW w:w="6000" w:type="dxa"/>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在三星级（含）宾馆（饭店）担任过餐饮经理或就餐人数在400人以上机关或800人以上企事业单位或高校食堂担任过厨师长，高水平、责任心强，中式烹饪师高级以上证书。</w:t>
            </w:r>
          </w:p>
        </w:tc>
      </w:tr>
      <w:tr>
        <w:trPr>
          <w:trHeight w:val="1143"/>
        </w:trPr>
        <w:tc>
          <w:tcPr>
            <w:tcW w:w="1480" w:type="dxa"/>
            <w:vMerge/>
            <w:noWrap/>
            <w:vAlign w:val="center"/>
          </w:tcPr>
          <w:p/>
        </w:tc>
        <w:tc>
          <w:tcPr>
            <w:tcW w:w="1590" w:type="dxa"/>
            <w:shd w:val="clear" w:color="auto" w:fill="auto"/>
            <w:noWrap/>
            <w:vAlign w:val="center"/>
          </w:tcPr>
          <w:p>
            <w:pPr>
              <w:adjustRightInd w:val="0"/>
              <w:snapToGrid w:val="0"/>
              <w:ind w:firstLineChars="182" w:firstLine="510"/>
              <w:rPr>
                <w:rFonts w:ascii="华文仿宋" w:eastAsia="华文仿宋" w:cs="华文仿宋" w:hint="eastAsia"/>
                <w:b/>
                <w:bCs/>
                <w:color w:val="auto"/>
                <w:kern w:val="2"/>
                <w:sz w:val="28"/>
                <w:szCs w:val="28"/>
                <w:lang w:val="en-US" w:eastAsia="zh-CN" w:bidi="ar-SA"/>
                <w:highlight w:val="auto"/>
              </w:rPr>
            </w:pPr>
            <w:r>
              <w:rPr>
                <w:rFonts w:ascii="华文仿宋" w:eastAsia="华文仿宋" w:cs="华文仿宋" w:hint="eastAsia"/>
                <w:b/>
                <w:bCs/>
                <w:color w:val="auto"/>
                <w:sz w:val="28"/>
                <w:szCs w:val="28"/>
                <w:highlight w:val="auto"/>
              </w:rPr>
              <w:t>厨师</w:t>
            </w:r>
          </w:p>
        </w:tc>
        <w:tc>
          <w:tcPr>
            <w:tcW w:w="1275" w:type="dxa"/>
            <w:shd w:val="clear" w:color="auto" w:fill="auto"/>
            <w:noWrap/>
            <w:vAlign w:val="center"/>
          </w:tcPr>
          <w:p>
            <w:pPr>
              <w:adjustRightInd w:val="0"/>
              <w:snapToGrid w:val="0"/>
              <w:jc w:val="center"/>
              <w:rPr>
                <w:rFonts w:ascii="华文仿宋" w:eastAsia="华文仿宋" w:cs="华文仿宋" w:hint="eastAsia"/>
                <w:b/>
                <w:bCs/>
                <w:color w:val="auto"/>
                <w:kern w:val="2"/>
                <w:sz w:val="28"/>
                <w:szCs w:val="28"/>
                <w:lang w:val="en-US" w:eastAsia="zh-CN" w:bidi="ar-SA"/>
                <w:highlight w:val="auto"/>
              </w:rPr>
            </w:pPr>
            <w:r>
              <w:rPr>
                <w:rFonts w:ascii="华文仿宋" w:eastAsia="华文仿宋" w:cs="华文仿宋" w:hint="eastAsia"/>
                <w:b/>
                <w:bCs/>
                <w:color w:val="auto"/>
                <w:sz w:val="28"/>
                <w:szCs w:val="28"/>
                <w:highlight w:val="auto"/>
              </w:rPr>
              <w:t>1人</w:t>
            </w:r>
          </w:p>
        </w:tc>
        <w:tc>
          <w:tcPr>
            <w:tcW w:w="6000" w:type="dxa"/>
            <w:shd w:val="clear" w:color="auto" w:fill="auto"/>
            <w:noWrap/>
            <w:vAlign w:val="center"/>
          </w:tcPr>
          <w:p>
            <w:pPr>
              <w:adjustRightInd w:val="0"/>
              <w:snapToGrid w:val="0"/>
              <w:rPr>
                <w:rFonts w:ascii="华文仿宋" w:eastAsia="华文仿宋" w:cs="华文仿宋" w:hint="eastAsia"/>
                <w:b/>
                <w:bCs/>
                <w:color w:val="auto"/>
                <w:kern w:val="2"/>
                <w:sz w:val="28"/>
                <w:szCs w:val="28"/>
                <w:lang w:val="en-US" w:eastAsia="zh-CN" w:bidi="ar-SA"/>
                <w:highlight w:val="auto"/>
              </w:rPr>
            </w:pPr>
            <w:r>
              <w:rPr>
                <w:rFonts w:ascii="华文仿宋" w:eastAsia="华文仿宋" w:cs="华文仿宋" w:hint="eastAsia"/>
                <w:b/>
                <w:bCs/>
                <w:color w:val="auto"/>
                <w:sz w:val="28"/>
                <w:szCs w:val="28"/>
                <w:highlight w:val="auto"/>
              </w:rPr>
              <w:t>中式烹饪师中级以上证书，具有三年以上实际管理经验并有较强沟通能力，责任心强。</w:t>
            </w:r>
          </w:p>
        </w:tc>
      </w:tr>
      <w:tr>
        <w:trPr>
          <w:trHeight w:val="557"/>
        </w:trPr>
        <w:tc>
          <w:tcPr>
            <w:tcW w:w="1480" w:type="dxa"/>
            <w:vMerge/>
            <w:noWrap/>
            <w:vAlign w:val="center"/>
          </w:tcPr>
          <w:p/>
        </w:tc>
        <w:tc>
          <w:tcPr>
            <w:tcW w:w="159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帮厨</w:t>
            </w:r>
          </w:p>
        </w:tc>
        <w:tc>
          <w:tcPr>
            <w:tcW w:w="1275" w:type="dxa"/>
            <w:noWrap/>
            <w:vAlign w:val="center"/>
          </w:tcPr>
          <w:p>
            <w:pPr>
              <w:adjustRightInd w:val="0"/>
              <w:snapToGrid w:val="0"/>
              <w:jc w:val="center"/>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1人</w:t>
            </w:r>
          </w:p>
        </w:tc>
        <w:tc>
          <w:tcPr>
            <w:tcW w:w="6000" w:type="dxa"/>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45周岁以内，具备劳动部门颁发的面点师技能资格证书。</w:t>
            </w:r>
          </w:p>
        </w:tc>
      </w:tr>
      <w:tr>
        <w:trPr>
          <w:trHeight w:val="550"/>
        </w:trPr>
        <w:tc>
          <w:tcPr>
            <w:tcW w:w="1480" w:type="dxa"/>
            <w:vMerge/>
            <w:noWrap/>
            <w:vAlign w:val="center"/>
          </w:tcPr>
          <w:p/>
        </w:tc>
        <w:tc>
          <w:tcPr>
            <w:tcW w:w="159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面点师</w:t>
            </w:r>
          </w:p>
        </w:tc>
        <w:tc>
          <w:tcPr>
            <w:tcW w:w="1275" w:type="dxa"/>
            <w:noWrap/>
            <w:vAlign w:val="center"/>
          </w:tcPr>
          <w:p>
            <w:pPr>
              <w:adjustRightInd w:val="0"/>
              <w:snapToGrid w:val="0"/>
              <w:jc w:val="center"/>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1人</w:t>
            </w:r>
          </w:p>
        </w:tc>
        <w:tc>
          <w:tcPr>
            <w:tcW w:w="6000" w:type="dxa"/>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50周岁以内，具备劳动部门颁发的面点师技能资格证书。</w:t>
            </w:r>
          </w:p>
        </w:tc>
      </w:tr>
      <w:tr>
        <w:trPr>
          <w:trHeight w:val="622"/>
        </w:trPr>
        <w:tc>
          <w:tcPr>
            <w:tcW w:w="1480" w:type="dxa"/>
            <w:vMerge/>
            <w:noWrap/>
            <w:vAlign w:val="center"/>
          </w:tcPr>
          <w:p/>
        </w:tc>
        <w:tc>
          <w:tcPr>
            <w:tcW w:w="159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服务员</w:t>
            </w:r>
          </w:p>
        </w:tc>
        <w:tc>
          <w:tcPr>
            <w:tcW w:w="1275" w:type="dxa"/>
            <w:noWrap/>
            <w:vAlign w:val="center"/>
          </w:tcPr>
          <w:p>
            <w:pPr>
              <w:adjustRightInd w:val="0"/>
              <w:snapToGrid w:val="0"/>
              <w:jc w:val="center"/>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lang w:val="en-US" w:eastAsia="zh-CN"/>
                <w:highlight w:val="auto"/>
              </w:rPr>
              <w:t>1</w:t>
            </w:r>
            <w:r>
              <w:rPr>
                <w:rFonts w:ascii="华文仿宋" w:eastAsia="华文仿宋" w:cs="华文仿宋" w:hint="eastAsia"/>
                <w:b/>
                <w:bCs/>
                <w:color w:val="auto"/>
                <w:sz w:val="28"/>
                <w:szCs w:val="28"/>
                <w:highlight w:val="auto"/>
              </w:rPr>
              <w:t>人</w:t>
            </w:r>
          </w:p>
        </w:tc>
        <w:tc>
          <w:tcPr>
            <w:tcW w:w="6000" w:type="dxa"/>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lang w:val="en-US" w:eastAsia="zh-CN"/>
                <w:highlight w:val="auto"/>
              </w:rPr>
              <w:t>45</w:t>
            </w:r>
            <w:r>
              <w:rPr>
                <w:rFonts w:ascii="华文仿宋" w:eastAsia="华文仿宋" w:cs="华文仿宋" w:hint="eastAsia"/>
                <w:b/>
                <w:bCs/>
                <w:color w:val="auto"/>
                <w:sz w:val="28"/>
                <w:szCs w:val="28"/>
                <w:highlight w:val="auto"/>
              </w:rPr>
              <w:t>周岁以内，有餐饮服务（含包厢服务）经验。</w:t>
            </w:r>
          </w:p>
        </w:tc>
      </w:tr>
      <w:tr>
        <w:trPr>
          <w:trHeight w:val="716"/>
        </w:trPr>
        <w:tc>
          <w:tcPr>
            <w:tcW w:w="1480" w:type="dxa"/>
            <w:vMerge/>
            <w:noWrap/>
            <w:vAlign w:val="center"/>
          </w:tcPr>
          <w:p/>
        </w:tc>
        <w:tc>
          <w:tcPr>
            <w:tcW w:w="159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勤杂工</w:t>
            </w:r>
          </w:p>
        </w:tc>
        <w:tc>
          <w:tcPr>
            <w:tcW w:w="1275" w:type="dxa"/>
            <w:noWrap/>
            <w:vAlign w:val="center"/>
          </w:tcPr>
          <w:p>
            <w:pPr>
              <w:adjustRightInd w:val="0"/>
              <w:snapToGrid w:val="0"/>
              <w:jc w:val="center"/>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lang w:val="en-US" w:eastAsia="zh-CN"/>
                <w:highlight w:val="auto"/>
              </w:rPr>
              <w:t>2</w:t>
            </w:r>
            <w:r>
              <w:rPr>
                <w:rFonts w:ascii="华文仿宋" w:eastAsia="华文仿宋" w:cs="华文仿宋" w:hint="eastAsia"/>
                <w:b/>
                <w:bCs/>
                <w:color w:val="auto"/>
                <w:sz w:val="28"/>
                <w:szCs w:val="28"/>
                <w:highlight w:val="auto"/>
              </w:rPr>
              <w:t>人</w:t>
            </w:r>
          </w:p>
        </w:tc>
        <w:tc>
          <w:tcPr>
            <w:tcW w:w="6000" w:type="dxa"/>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5</w:t>
            </w:r>
            <w:r>
              <w:rPr>
                <w:rFonts w:ascii="华文仿宋" w:eastAsia="华文仿宋" w:cs="华文仿宋" w:hint="eastAsia"/>
                <w:b/>
                <w:bCs/>
                <w:color w:val="auto"/>
                <w:sz w:val="28"/>
                <w:szCs w:val="28"/>
                <w:lang w:val="en-US" w:eastAsia="zh-CN"/>
                <w:highlight w:val="auto"/>
              </w:rPr>
              <w:t>0</w:t>
            </w:r>
            <w:r>
              <w:rPr>
                <w:rFonts w:ascii="华文仿宋" w:eastAsia="华文仿宋" w:cs="华文仿宋" w:hint="eastAsia"/>
                <w:b/>
                <w:bCs/>
                <w:color w:val="auto"/>
                <w:sz w:val="28"/>
                <w:szCs w:val="28"/>
                <w:highlight w:val="auto"/>
              </w:rPr>
              <w:t>周岁以内。</w:t>
            </w:r>
          </w:p>
        </w:tc>
      </w:tr>
      <w:tr>
        <w:trPr>
          <w:trHeight w:val="110"/>
        </w:trPr>
        <w:tc>
          <w:tcPr>
            <w:tcW w:w="1480" w:type="dxa"/>
            <w:vMerge w:val="restart"/>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宋濂路食堂</w:t>
            </w:r>
          </w:p>
        </w:tc>
        <w:tc>
          <w:tcPr>
            <w:tcW w:w="159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厨师</w:t>
            </w:r>
          </w:p>
        </w:tc>
        <w:tc>
          <w:tcPr>
            <w:tcW w:w="1275" w:type="dxa"/>
            <w:noWrap/>
            <w:vAlign w:val="center"/>
          </w:tcPr>
          <w:p>
            <w:pPr>
              <w:adjustRightInd w:val="0"/>
              <w:snapToGrid w:val="0"/>
              <w:jc w:val="center"/>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1人</w:t>
            </w:r>
          </w:p>
        </w:tc>
        <w:tc>
          <w:tcPr>
            <w:tcW w:w="6000" w:type="dxa"/>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中式烹饪师中级以上证书，具有三年以上实际管理经验并有较强沟通能力，责任心强。</w:t>
            </w:r>
          </w:p>
        </w:tc>
      </w:tr>
      <w:tr>
        <w:trPr>
          <w:trHeight w:val="484"/>
        </w:trPr>
        <w:tc>
          <w:tcPr>
            <w:tcW w:w="1480" w:type="dxa"/>
            <w:vMerge/>
            <w:noWrap/>
            <w:vAlign w:val="center"/>
          </w:tcPr>
          <w:p/>
        </w:tc>
        <w:tc>
          <w:tcPr>
            <w:tcW w:w="159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帮厨</w:t>
            </w:r>
          </w:p>
        </w:tc>
        <w:tc>
          <w:tcPr>
            <w:tcW w:w="1275" w:type="dxa"/>
            <w:noWrap/>
            <w:vAlign w:val="center"/>
          </w:tcPr>
          <w:p>
            <w:pPr>
              <w:adjustRightInd w:val="0"/>
              <w:snapToGrid w:val="0"/>
              <w:jc w:val="center"/>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lang w:val="en-US" w:eastAsia="zh-CN"/>
                <w:highlight w:val="auto"/>
              </w:rPr>
              <w:t>1</w:t>
            </w:r>
            <w:r>
              <w:rPr>
                <w:rFonts w:ascii="华文仿宋" w:eastAsia="华文仿宋" w:cs="华文仿宋" w:hint="eastAsia"/>
                <w:b/>
                <w:bCs/>
                <w:color w:val="auto"/>
                <w:sz w:val="28"/>
                <w:szCs w:val="28"/>
                <w:highlight w:val="auto"/>
              </w:rPr>
              <w:t>人</w:t>
            </w:r>
          </w:p>
        </w:tc>
        <w:tc>
          <w:tcPr>
            <w:tcW w:w="6000" w:type="dxa"/>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45周岁以内，具备劳动部门颁发的面点师技能资格证书。</w:t>
            </w:r>
          </w:p>
        </w:tc>
      </w:tr>
      <w:tr>
        <w:trPr>
          <w:trHeight w:val="421"/>
        </w:trPr>
        <w:tc>
          <w:tcPr>
            <w:tcW w:w="1480" w:type="dxa"/>
            <w:vMerge/>
            <w:noWrap/>
            <w:vAlign w:val="center"/>
          </w:tcPr>
          <w:p/>
        </w:tc>
        <w:tc>
          <w:tcPr>
            <w:tcW w:w="159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面点师</w:t>
            </w:r>
          </w:p>
        </w:tc>
        <w:tc>
          <w:tcPr>
            <w:tcW w:w="1275" w:type="dxa"/>
            <w:noWrap/>
            <w:vAlign w:val="center"/>
          </w:tcPr>
          <w:p>
            <w:pPr>
              <w:adjustRightInd w:val="0"/>
              <w:snapToGrid w:val="0"/>
              <w:jc w:val="center"/>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1人</w:t>
            </w:r>
          </w:p>
        </w:tc>
        <w:tc>
          <w:tcPr>
            <w:tcW w:w="6000" w:type="dxa"/>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50周岁以内，具备劳动部门颁发的面点师技能资格证书。</w:t>
            </w:r>
          </w:p>
        </w:tc>
      </w:tr>
      <w:tr>
        <w:trPr>
          <w:trHeight w:val="555"/>
        </w:trPr>
        <w:tc>
          <w:tcPr>
            <w:tcW w:w="1480" w:type="dxa"/>
            <w:vMerge/>
            <w:noWrap/>
            <w:vAlign w:val="center"/>
          </w:tcPr>
          <w:p/>
        </w:tc>
        <w:tc>
          <w:tcPr>
            <w:tcW w:w="159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服务员</w:t>
            </w:r>
          </w:p>
        </w:tc>
        <w:tc>
          <w:tcPr>
            <w:tcW w:w="1275" w:type="dxa"/>
            <w:noWrap/>
            <w:vAlign w:val="center"/>
          </w:tcPr>
          <w:p>
            <w:pPr>
              <w:adjustRightInd w:val="0"/>
              <w:snapToGrid w:val="0"/>
              <w:jc w:val="center"/>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lang w:val="en-US" w:eastAsia="zh-CN"/>
                <w:highlight w:val="auto"/>
              </w:rPr>
              <w:t>1</w:t>
            </w:r>
            <w:r>
              <w:rPr>
                <w:rFonts w:ascii="华文仿宋" w:eastAsia="华文仿宋" w:cs="华文仿宋" w:hint="eastAsia"/>
                <w:b/>
                <w:bCs/>
                <w:color w:val="auto"/>
                <w:sz w:val="28"/>
                <w:szCs w:val="28"/>
                <w:highlight w:val="auto"/>
              </w:rPr>
              <w:t>人</w:t>
            </w:r>
          </w:p>
        </w:tc>
        <w:tc>
          <w:tcPr>
            <w:tcW w:w="6000" w:type="dxa"/>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lang w:val="en-US" w:eastAsia="zh-CN"/>
                <w:highlight w:val="auto"/>
              </w:rPr>
              <w:t>45</w:t>
            </w:r>
            <w:r>
              <w:rPr>
                <w:rFonts w:ascii="华文仿宋" w:eastAsia="华文仿宋" w:cs="华文仿宋" w:hint="eastAsia"/>
                <w:b/>
                <w:bCs/>
                <w:color w:val="auto"/>
                <w:sz w:val="28"/>
                <w:szCs w:val="28"/>
                <w:highlight w:val="auto"/>
              </w:rPr>
              <w:t>周岁以内，有餐饮服务（含包厢服务）经验。</w:t>
            </w:r>
          </w:p>
        </w:tc>
      </w:tr>
      <w:tr>
        <w:trPr>
          <w:trHeight w:val="555"/>
        </w:trPr>
        <w:tc>
          <w:tcPr>
            <w:tcW w:w="1480" w:type="dxa"/>
            <w:vMerge/>
            <w:noWrap/>
            <w:vAlign w:val="center"/>
          </w:tcPr>
          <w:p/>
        </w:tc>
        <w:tc>
          <w:tcPr>
            <w:tcW w:w="159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勤杂工</w:t>
            </w:r>
          </w:p>
        </w:tc>
        <w:tc>
          <w:tcPr>
            <w:tcW w:w="1275" w:type="dxa"/>
            <w:noWrap/>
            <w:vAlign w:val="center"/>
          </w:tcPr>
          <w:p>
            <w:pPr>
              <w:adjustRightInd w:val="0"/>
              <w:snapToGrid w:val="0"/>
              <w:jc w:val="center"/>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lang w:val="en-US" w:eastAsia="zh-CN"/>
                <w:highlight w:val="auto"/>
              </w:rPr>
              <w:t>2</w:t>
            </w:r>
            <w:r>
              <w:rPr>
                <w:rFonts w:ascii="华文仿宋" w:eastAsia="华文仿宋" w:cs="华文仿宋" w:hint="eastAsia"/>
                <w:b/>
                <w:bCs/>
                <w:color w:val="auto"/>
                <w:sz w:val="28"/>
                <w:szCs w:val="28"/>
                <w:highlight w:val="auto"/>
              </w:rPr>
              <w:t>人</w:t>
            </w:r>
          </w:p>
        </w:tc>
        <w:tc>
          <w:tcPr>
            <w:tcW w:w="6000" w:type="dxa"/>
            <w:noWrap/>
            <w:vAlign w:val="center"/>
          </w:tcPr>
          <w:p>
            <w:pPr>
              <w:adjustRightInd w:val="0"/>
              <w:snapToGrid w:val="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5</w:t>
            </w:r>
            <w:r>
              <w:rPr>
                <w:rFonts w:ascii="华文仿宋" w:eastAsia="华文仿宋" w:cs="华文仿宋" w:hint="eastAsia"/>
                <w:b/>
                <w:bCs/>
                <w:color w:val="auto"/>
                <w:sz w:val="28"/>
                <w:szCs w:val="28"/>
                <w:lang w:val="en-US" w:eastAsia="zh-CN"/>
                <w:highlight w:val="auto"/>
              </w:rPr>
              <w:t>0</w:t>
            </w:r>
            <w:r>
              <w:rPr>
                <w:rFonts w:ascii="华文仿宋" w:eastAsia="华文仿宋" w:cs="华文仿宋" w:hint="eastAsia"/>
                <w:b/>
                <w:bCs/>
                <w:color w:val="auto"/>
                <w:sz w:val="28"/>
                <w:szCs w:val="28"/>
                <w:highlight w:val="auto"/>
              </w:rPr>
              <w:t>周岁以内。</w:t>
            </w:r>
          </w:p>
        </w:tc>
      </w:tr>
      <w:tr>
        <w:trPr>
          <w:trHeight w:val="601"/>
        </w:trPr>
        <w:tc>
          <w:tcPr>
            <w:tcW w:w="1480" w:type="dxa"/>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合计</w:t>
            </w:r>
          </w:p>
        </w:tc>
        <w:tc>
          <w:tcPr>
            <w:tcW w:w="8865" w:type="dxa"/>
            <w:gridSpan w:val="3"/>
            <w:noWrap/>
            <w:vAlign w:val="center"/>
          </w:tcPr>
          <w:p>
            <w:pPr>
              <w:adjustRightInd w:val="0"/>
              <w:snapToGrid w:val="0"/>
              <w:ind w:firstLineChars="182" w:firstLine="510"/>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highlight w:val="auto"/>
              </w:rPr>
              <w:t xml:space="preserve">            </w:t>
            </w:r>
            <w:r>
              <w:rPr>
                <w:rFonts w:ascii="华文仿宋" w:eastAsia="华文仿宋" w:cs="华文仿宋" w:hint="eastAsia"/>
                <w:b/>
                <w:bCs/>
                <w:color w:val="auto"/>
                <w:sz w:val="28"/>
                <w:szCs w:val="28"/>
                <w:lang w:val="en-US" w:eastAsia="zh-CN"/>
                <w:highlight w:val="auto"/>
              </w:rPr>
              <w:t>14</w:t>
            </w:r>
            <w:r>
              <w:rPr>
                <w:rFonts w:ascii="华文仿宋" w:eastAsia="华文仿宋" w:cs="华文仿宋" w:hint="eastAsia"/>
                <w:b/>
                <w:bCs/>
                <w:color w:val="auto"/>
                <w:sz w:val="28"/>
                <w:szCs w:val="28"/>
                <w:highlight w:val="auto"/>
              </w:rPr>
              <w:t>人</w:t>
            </w:r>
          </w:p>
        </w:tc>
      </w:tr>
    </w:tbl>
    <w:p>
      <w:pPr>
        <w:keepNext w:val="0"/>
        <w:keepLines w:val="0"/>
        <w:pageBreakBefore w:val="0"/>
        <w:widowControl w:val="0"/>
        <w:kinsoku/>
        <w:wordWrap/>
        <w:overflowPunct/>
        <w:topLinePunct w:val="0"/>
        <w:autoSpaceDE/>
        <w:autoSpaceDN/>
        <w:bidi w:val="0"/>
        <w:adjustRightInd w:val="0"/>
        <w:snapToGrid w:val="0"/>
        <w:spacing w:line="460" w:lineRule="exact"/>
        <w:ind w:firstLineChars="182" w:firstLine="510"/>
        <w:textAlignment w:val="auto"/>
        <w:rPr>
          <w:rFonts w:ascii="华文仿宋" w:eastAsia="华文仿宋" w:cs="华文仿宋" w:hint="eastAsia"/>
          <w:b/>
          <w:bCs/>
          <w:color w:val="auto"/>
          <w:sz w:val="28"/>
          <w:szCs w:val="28"/>
          <w:highlight w:val="auto"/>
        </w:rPr>
      </w:pPr>
      <w:r>
        <w:rPr>
          <w:rFonts w:ascii="华文仿宋" w:eastAsia="华文仿宋" w:cs="华文仿宋" w:hint="eastAsia"/>
          <w:b/>
          <w:bCs/>
          <w:color w:val="auto"/>
          <w:sz w:val="28"/>
          <w:szCs w:val="28"/>
          <w:lang w:eastAsia="zh-CN"/>
          <w:highlight w:val="auto"/>
        </w:rPr>
        <w:t>（</w:t>
      </w:r>
      <w:r>
        <w:rPr>
          <w:rFonts w:ascii="华文仿宋" w:eastAsia="华文仿宋" w:cs="华文仿宋" w:hint="eastAsia"/>
          <w:b/>
          <w:bCs/>
          <w:color w:val="auto"/>
          <w:sz w:val="28"/>
          <w:szCs w:val="28"/>
          <w:highlight w:val="auto"/>
        </w:rPr>
        <w:t>5</w:t>
      </w:r>
      <w:r>
        <w:rPr>
          <w:rFonts w:ascii="华文仿宋" w:eastAsia="华文仿宋" w:cs="华文仿宋" w:hint="eastAsia"/>
          <w:b/>
          <w:bCs/>
          <w:color w:val="auto"/>
          <w:sz w:val="28"/>
          <w:szCs w:val="28"/>
          <w:lang w:eastAsia="zh-CN"/>
          <w:highlight w:val="auto"/>
        </w:rPr>
        <w:t>）</w:t>
      </w:r>
      <w:r>
        <w:rPr>
          <w:rFonts w:ascii="华文仿宋" w:eastAsia="华文仿宋" w:cs="华文仿宋" w:hint="eastAsia"/>
          <w:b/>
          <w:bCs/>
          <w:color w:val="auto"/>
          <w:sz w:val="28"/>
          <w:szCs w:val="28"/>
          <w:highlight w:val="auto"/>
        </w:rPr>
        <w:t>员工中有外来务工人员的，必须具有公安部门核发的临时居住证等相关证件。</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b/>
          <w:bCs/>
          <w:color w:val="auto"/>
          <w:kern w:val="44"/>
          <w:sz w:val="28"/>
          <w:szCs w:val="28"/>
          <w:highlight w:val="auto"/>
        </w:rPr>
      </w:pPr>
      <w:r>
        <w:rPr>
          <w:rFonts w:ascii="华文仿宋" w:eastAsia="华文仿宋" w:cs="华文仿宋" w:hint="eastAsia"/>
          <w:b/>
          <w:bCs/>
          <w:color w:val="auto"/>
          <w:kern w:val="44"/>
          <w:sz w:val="28"/>
          <w:szCs w:val="28"/>
          <w:lang w:val="en-US" w:eastAsia="zh-CN"/>
          <w:highlight w:val="auto"/>
        </w:rPr>
        <w:t>5.</w:t>
      </w:r>
      <w:r>
        <w:rPr>
          <w:rFonts w:ascii="华文仿宋" w:eastAsia="华文仿宋" w:cs="华文仿宋" w:hint="eastAsia"/>
          <w:b/>
          <w:bCs/>
          <w:color w:val="auto"/>
          <w:kern w:val="44"/>
          <w:sz w:val="28"/>
          <w:szCs w:val="28"/>
          <w:highlight w:val="auto"/>
        </w:rPr>
        <w:t>管理要求方面</w:t>
      </w:r>
    </w:p>
    <w:p>
      <w:pPr>
        <w:keepNext w:val="0"/>
        <w:keepLines w:val="0"/>
        <w:pageBreakBefore w:val="0"/>
        <w:widowControl w:val="0"/>
        <w:kinsoku/>
        <w:wordWrap/>
        <w:overflowPunct/>
        <w:topLinePunct w:val="0"/>
        <w:autoSpaceDE/>
        <w:autoSpaceDN/>
        <w:bidi w:val="0"/>
        <w:adjustRightInd w:val="0"/>
        <w:snapToGrid w:val="0"/>
        <w:spacing w:line="460" w:lineRule="exact"/>
        <w:ind w:firstLineChars="196" w:firstLine="549"/>
        <w:textAlignment w:val="auto"/>
        <w:rPr>
          <w:rFonts w:ascii="华文仿宋" w:eastAsia="华文仿宋" w:cs="华文仿宋" w:hint="eastAsia"/>
          <w:b/>
          <w:bCs/>
          <w:color w:val="auto"/>
          <w:kern w:val="44"/>
          <w:sz w:val="28"/>
          <w:szCs w:val="28"/>
          <w:highlight w:val="auto"/>
        </w:rPr>
      </w:pPr>
      <w:r>
        <w:rPr>
          <w:rFonts w:ascii="华文仿宋" w:eastAsia="华文仿宋" w:cs="华文仿宋" w:hint="eastAsia"/>
          <w:b/>
          <w:bCs/>
          <w:color w:val="auto"/>
          <w:kern w:val="44"/>
          <w:sz w:val="28"/>
          <w:szCs w:val="28"/>
          <w:lang w:eastAsia="zh-CN"/>
          <w:highlight w:val="auto"/>
        </w:rPr>
        <w:t>（</w:t>
      </w:r>
      <w:r>
        <w:rPr>
          <w:rFonts w:ascii="华文仿宋" w:eastAsia="华文仿宋" w:cs="华文仿宋" w:hint="eastAsia"/>
          <w:b/>
          <w:bCs/>
          <w:color w:val="auto"/>
          <w:kern w:val="44"/>
          <w:sz w:val="28"/>
          <w:szCs w:val="28"/>
          <w:highlight w:val="auto"/>
        </w:rPr>
        <w:t>1</w:t>
      </w:r>
      <w:r>
        <w:rPr>
          <w:rFonts w:ascii="华文仿宋" w:eastAsia="华文仿宋" w:cs="华文仿宋" w:hint="eastAsia"/>
          <w:b/>
          <w:bCs/>
          <w:color w:val="auto"/>
          <w:kern w:val="44"/>
          <w:sz w:val="28"/>
          <w:szCs w:val="28"/>
          <w:lang w:eastAsia="zh-CN"/>
          <w:highlight w:val="auto"/>
        </w:rPr>
        <w:t>）</w:t>
      </w:r>
      <w:r>
        <w:rPr>
          <w:rFonts w:ascii="华文仿宋" w:eastAsia="华文仿宋" w:cs="华文仿宋" w:hint="eastAsia"/>
          <w:b/>
          <w:bCs/>
          <w:color w:val="auto"/>
          <w:kern w:val="44"/>
          <w:sz w:val="28"/>
          <w:szCs w:val="28"/>
          <w:highlight w:val="auto"/>
        </w:rPr>
        <w:t>项目管理</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ascii="华文仿宋" w:eastAsia="华文仿宋" w:cs="华文仿宋" w:hint="eastAsia"/>
          <w:color w:val="auto"/>
          <w:sz w:val="28"/>
          <w:szCs w:val="28"/>
          <w:highlight w:val="auto"/>
        </w:rPr>
      </w:pPr>
      <w:r>
        <w:rPr>
          <w:rFonts w:ascii="华文仿宋" w:eastAsia="华文仿宋" w:cs="华文仿宋" w:hint="eastAsia"/>
          <w:b/>
          <w:bCs/>
          <w:color w:val="auto"/>
          <w:kern w:val="44"/>
          <w:sz w:val="28"/>
          <w:szCs w:val="28"/>
          <w:highlight w:val="auto"/>
        </w:rPr>
        <w:t xml:space="preserve">    </w:t>
      </w:r>
      <w:r>
        <w:rPr>
          <w:rFonts w:ascii="华文仿宋" w:eastAsia="华文仿宋" w:cs="华文仿宋" w:hint="eastAsia"/>
          <w:b/>
          <w:color w:val="auto"/>
          <w:sz w:val="28"/>
          <w:szCs w:val="28"/>
          <w:highlight w:val="auto"/>
        </w:rPr>
        <w:t>1）</w:t>
      </w:r>
      <w:r>
        <w:rPr>
          <w:rFonts w:ascii="华文仿宋" w:eastAsia="华文仿宋" w:cs="华文仿宋" w:hint="eastAsia"/>
          <w:color w:val="auto"/>
          <w:sz w:val="28"/>
          <w:szCs w:val="28"/>
          <w:highlight w:val="auto"/>
        </w:rPr>
        <w:t>成交供应商必须按照《民法典》《劳动法》等相关规定，合法规范用工，并全面承担其所聘用服务团队涉及劳动关系的所有责任。</w:t>
      </w:r>
    </w:p>
    <w:p>
      <w:pPr>
        <w:keepNext w:val="0"/>
        <w:keepLines w:val="0"/>
        <w:pageBreakBefore w:val="0"/>
        <w:widowControl w:val="0"/>
        <w:kinsoku/>
        <w:wordWrap/>
        <w:overflowPunct/>
        <w:topLinePunct w:val="0"/>
        <w:autoSpaceDE/>
        <w:autoSpaceDN/>
        <w:bidi w:val="0"/>
        <w:adjustRightInd w:val="0"/>
        <w:snapToGrid w:val="0"/>
        <w:spacing w:line="460" w:lineRule="exact"/>
        <w:ind w:firstLineChars="196" w:firstLine="549"/>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2）</w:t>
      </w:r>
      <w:r>
        <w:rPr>
          <w:rFonts w:ascii="华文仿宋" w:eastAsia="华文仿宋" w:cs="华文仿宋" w:hint="eastAsia"/>
          <w:bCs/>
          <w:color w:val="auto"/>
          <w:sz w:val="28"/>
          <w:szCs w:val="28"/>
          <w:highlight w:val="auto"/>
        </w:rPr>
        <w:t>供应商应对其聘用人员进行上岗前培训</w:t>
      </w:r>
      <w:r>
        <w:rPr>
          <w:rFonts w:ascii="华文仿宋" w:eastAsia="华文仿宋" w:cs="华文仿宋" w:hint="eastAsia"/>
          <w:color w:val="auto"/>
          <w:sz w:val="28"/>
          <w:szCs w:val="28"/>
          <w:highlight w:val="auto"/>
        </w:rPr>
        <w:t>，并提供培训记录，从而提供最佳服务。</w:t>
      </w:r>
    </w:p>
    <w:p>
      <w:pPr>
        <w:keepNext w:val="0"/>
        <w:keepLines w:val="0"/>
        <w:pageBreakBefore w:val="0"/>
        <w:widowControl w:val="0"/>
        <w:kinsoku/>
        <w:wordWrap/>
        <w:overflowPunct/>
        <w:topLinePunct w:val="0"/>
        <w:autoSpaceDE/>
        <w:autoSpaceDN/>
        <w:bidi w:val="0"/>
        <w:adjustRightInd w:val="0"/>
        <w:snapToGrid w:val="0"/>
        <w:spacing w:line="460" w:lineRule="exact"/>
        <w:ind w:firstLineChars="196" w:firstLine="549"/>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3）</w:t>
      </w:r>
      <w:r>
        <w:rPr>
          <w:rFonts w:ascii="华文仿宋" w:eastAsia="华文仿宋" w:cs="华文仿宋" w:hint="eastAsia"/>
          <w:color w:val="auto"/>
          <w:sz w:val="28"/>
          <w:szCs w:val="28"/>
          <w:highlight w:val="auto"/>
        </w:rPr>
        <w:t>要根据采购方的服务要求设定工作岗位，分配工作任务，并对聘用人员的工作情况实行监督检查、考核管理。</w:t>
      </w:r>
    </w:p>
    <w:p>
      <w:pPr>
        <w:keepNext w:val="0"/>
        <w:keepLines w:val="0"/>
        <w:pageBreakBefore w:val="0"/>
        <w:widowControl w:val="0"/>
        <w:kinsoku/>
        <w:wordWrap/>
        <w:overflowPunct/>
        <w:topLinePunct w:val="0"/>
        <w:autoSpaceDE/>
        <w:autoSpaceDN/>
        <w:bidi w:val="0"/>
        <w:adjustRightInd w:val="0"/>
        <w:snapToGrid w:val="0"/>
        <w:spacing w:line="460" w:lineRule="exact"/>
        <w:ind w:firstLineChars="196" w:firstLine="549"/>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4）</w:t>
      </w:r>
      <w:r>
        <w:rPr>
          <w:rFonts w:ascii="华文仿宋" w:eastAsia="华文仿宋" w:cs="华文仿宋" w:hint="eastAsia"/>
          <w:color w:val="auto"/>
          <w:sz w:val="28"/>
          <w:szCs w:val="28"/>
          <w:highlight w:val="auto"/>
        </w:rPr>
        <w:t>成交供应商聘用人员应遵守采购方的规章制度。</w:t>
      </w:r>
    </w:p>
    <w:p>
      <w:pPr>
        <w:keepNext w:val="0"/>
        <w:keepLines w:val="0"/>
        <w:pageBreakBefore w:val="0"/>
        <w:widowControl w:val="0"/>
        <w:kinsoku/>
        <w:wordWrap/>
        <w:overflowPunct/>
        <w:topLinePunct w:val="0"/>
        <w:autoSpaceDE/>
        <w:autoSpaceDN/>
        <w:bidi w:val="0"/>
        <w:adjustRightInd w:val="0"/>
        <w:snapToGrid w:val="0"/>
        <w:spacing w:line="460" w:lineRule="exact"/>
        <w:ind w:firstLineChars="196" w:firstLine="549"/>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5）</w:t>
      </w:r>
      <w:r>
        <w:rPr>
          <w:rFonts w:ascii="华文仿宋" w:eastAsia="华文仿宋" w:cs="华文仿宋" w:hint="eastAsia"/>
          <w:color w:val="auto"/>
          <w:sz w:val="28"/>
          <w:szCs w:val="28"/>
          <w:highlight w:val="auto"/>
        </w:rPr>
        <w:t>成交供应商自行解决聘用人员的居住、交通等生活事宜。</w:t>
      </w:r>
    </w:p>
    <w:p>
      <w:pPr>
        <w:keepNext w:val="0"/>
        <w:keepLines w:val="0"/>
        <w:pageBreakBefore w:val="0"/>
        <w:widowControl w:val="0"/>
        <w:kinsoku/>
        <w:wordWrap/>
        <w:overflowPunct/>
        <w:topLinePunct w:val="0"/>
        <w:autoSpaceDE/>
        <w:autoSpaceDN/>
        <w:bidi w:val="0"/>
        <w:adjustRightInd w:val="0"/>
        <w:snapToGrid w:val="0"/>
        <w:spacing w:line="460" w:lineRule="exact"/>
        <w:ind w:firstLineChars="196" w:firstLine="549"/>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6）</w:t>
      </w:r>
      <w:r>
        <w:rPr>
          <w:rFonts w:ascii="华文仿宋" w:eastAsia="华文仿宋" w:cs="华文仿宋" w:hint="eastAsia"/>
          <w:bCs/>
          <w:color w:val="auto"/>
          <w:sz w:val="28"/>
          <w:szCs w:val="28"/>
          <w:highlight w:val="auto"/>
        </w:rPr>
        <w:t>所聘用服务团队人员</w:t>
      </w:r>
      <w:r>
        <w:rPr>
          <w:rFonts w:ascii="华文仿宋" w:eastAsia="华文仿宋" w:cs="华文仿宋" w:hint="eastAsia"/>
          <w:color w:val="auto"/>
          <w:sz w:val="28"/>
          <w:szCs w:val="28"/>
          <w:highlight w:val="auto"/>
        </w:rPr>
        <w:t>应相对稳定，主要管理岗位人员如需调动需提前征求采购人意见。</w:t>
      </w:r>
    </w:p>
    <w:p>
      <w:pPr>
        <w:keepNext w:val="0"/>
        <w:keepLines w:val="0"/>
        <w:pageBreakBefore w:val="0"/>
        <w:widowControl w:val="0"/>
        <w:kinsoku/>
        <w:wordWrap/>
        <w:overflowPunct/>
        <w:topLinePunct w:val="0"/>
        <w:autoSpaceDE/>
        <w:autoSpaceDN/>
        <w:bidi w:val="0"/>
        <w:adjustRightInd w:val="0"/>
        <w:snapToGrid w:val="0"/>
        <w:spacing w:line="460" w:lineRule="exact"/>
        <w:ind w:firstLineChars="196" w:firstLine="549"/>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7）</w:t>
      </w:r>
      <w:r>
        <w:rPr>
          <w:rFonts w:ascii="华文仿宋" w:eastAsia="华文仿宋" w:cs="华文仿宋" w:hint="eastAsia"/>
          <w:color w:val="auto"/>
          <w:sz w:val="28"/>
          <w:szCs w:val="28"/>
          <w:highlight w:val="auto"/>
        </w:rPr>
        <w:t>应建立健全各项规章制度、岗位责任制、操作规程和各项台账。</w:t>
      </w:r>
    </w:p>
    <w:p>
      <w:pPr>
        <w:keepNext w:val="0"/>
        <w:keepLines w:val="0"/>
        <w:pageBreakBefore w:val="0"/>
        <w:widowControl w:val="0"/>
        <w:kinsoku/>
        <w:wordWrap/>
        <w:overflowPunct/>
        <w:topLinePunct w:val="0"/>
        <w:autoSpaceDE/>
        <w:autoSpaceDN/>
        <w:bidi w:val="0"/>
        <w:adjustRightInd w:val="0"/>
        <w:snapToGrid w:val="0"/>
        <w:spacing w:line="460" w:lineRule="exact"/>
        <w:ind w:firstLineChars="196" w:firstLine="549"/>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8）</w:t>
      </w:r>
      <w:r>
        <w:rPr>
          <w:rFonts w:ascii="华文仿宋" w:eastAsia="华文仿宋" w:cs="华文仿宋" w:hint="eastAsia"/>
          <w:color w:val="auto"/>
          <w:sz w:val="28"/>
          <w:szCs w:val="28"/>
          <w:highlight w:val="auto"/>
        </w:rPr>
        <w:t>成交供应商须自行配备员工的劳保用品（包括工作服、鞋帽，袖套，围裙，一次性口罩、一次性手套等），根据岗位统一着工作制服，工作服需保持干净整洁（每季服装不少于一年一换）。工作服装的选择由成交供应商提供选型经采购方确认。</w:t>
      </w:r>
    </w:p>
    <w:p>
      <w:pPr>
        <w:keepNext w:val="0"/>
        <w:keepLines w:val="0"/>
        <w:pageBreakBefore w:val="0"/>
        <w:widowControl w:val="0"/>
        <w:kinsoku/>
        <w:wordWrap/>
        <w:overflowPunct/>
        <w:topLinePunct w:val="0"/>
        <w:autoSpaceDE/>
        <w:autoSpaceDN/>
        <w:bidi w:val="0"/>
        <w:adjustRightInd w:val="0"/>
        <w:snapToGrid w:val="0"/>
        <w:spacing w:line="460" w:lineRule="exact"/>
        <w:ind w:firstLineChars="249" w:firstLine="697"/>
        <w:textAlignment w:val="auto"/>
        <w:rPr>
          <w:rFonts w:ascii="华文仿宋" w:eastAsia="华文仿宋" w:cs="华文仿宋" w:hint="eastAsia"/>
          <w:b/>
          <w:color w:val="auto"/>
          <w:sz w:val="28"/>
          <w:szCs w:val="28"/>
          <w:highlight w:val="auto"/>
        </w:rPr>
      </w:pP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highlight w:val="auto"/>
        </w:rPr>
        <w:t>2</w:t>
      </w: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highlight w:val="auto"/>
        </w:rPr>
        <w:t>人事管理：</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1）</w:t>
      </w:r>
      <w:r>
        <w:rPr>
          <w:rFonts w:ascii="华文仿宋" w:eastAsia="华文仿宋" w:cs="华文仿宋" w:hint="eastAsia"/>
          <w:color w:val="auto"/>
          <w:sz w:val="28"/>
          <w:szCs w:val="28"/>
          <w:highlight w:val="auto"/>
        </w:rPr>
        <w:t>抓好队伍组建。建立合适的人力组织结构体系,明确岗位名称、职级、人员配置、工作职责范围、工作质量标准，理顺各部门人员之间的隶属关系；</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2）</w:t>
      </w:r>
      <w:r>
        <w:rPr>
          <w:rFonts w:ascii="华文仿宋" w:eastAsia="华文仿宋" w:cs="华文仿宋" w:hint="eastAsia"/>
          <w:color w:val="auto"/>
          <w:sz w:val="28"/>
          <w:szCs w:val="28"/>
          <w:highlight w:val="auto"/>
        </w:rPr>
        <w:t>加强专业培训。有计划开展培训，不断提高员工的工作责任意识和服务保障意识，确保各岗位的操作和服务规范有序；</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3）</w:t>
      </w:r>
      <w:r>
        <w:rPr>
          <w:rFonts w:ascii="华文仿宋" w:eastAsia="华文仿宋" w:cs="华文仿宋" w:hint="eastAsia"/>
          <w:color w:val="auto"/>
          <w:sz w:val="28"/>
          <w:szCs w:val="28"/>
          <w:highlight w:val="auto"/>
        </w:rPr>
        <w:t>严格考核机制。结合每一岗位的工作情况，落实相应的奖惩激励措施。</w:t>
      </w:r>
    </w:p>
    <w:p>
      <w:pPr>
        <w:keepNext w:val="0"/>
        <w:keepLines w:val="0"/>
        <w:pageBreakBefore w:val="0"/>
        <w:widowControl w:val="0"/>
        <w:kinsoku/>
        <w:wordWrap/>
        <w:overflowPunct/>
        <w:topLinePunct w:val="0"/>
        <w:autoSpaceDE/>
        <w:autoSpaceDN/>
        <w:bidi w:val="0"/>
        <w:adjustRightInd w:val="0"/>
        <w:snapToGrid w:val="0"/>
        <w:spacing w:line="460" w:lineRule="exact"/>
        <w:ind w:firstLineChars="249" w:firstLine="697"/>
        <w:textAlignment w:val="auto"/>
        <w:rPr>
          <w:rFonts w:ascii="华文仿宋" w:eastAsia="华文仿宋" w:cs="华文仿宋" w:hint="eastAsia"/>
          <w:b/>
          <w:color w:val="auto"/>
          <w:sz w:val="28"/>
          <w:szCs w:val="28"/>
          <w:highlight w:val="auto"/>
        </w:rPr>
      </w:pP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highlight w:val="auto"/>
        </w:rPr>
        <w:t>3</w:t>
      </w: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highlight w:val="auto"/>
        </w:rPr>
        <w:t>安全管理：</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1）</w:t>
      </w:r>
      <w:r>
        <w:rPr>
          <w:rFonts w:ascii="华文仿宋" w:eastAsia="华文仿宋" w:cs="华文仿宋" w:hint="eastAsia"/>
          <w:color w:val="auto"/>
          <w:sz w:val="28"/>
          <w:szCs w:val="28"/>
          <w:highlight w:val="auto"/>
        </w:rPr>
        <w:t>树立防范意识。抓好食品安全和生产安全教育、培训、制度、监督、考核等管理工作，确保安全零事故，承担安全管理责任；</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2）</w:t>
      </w:r>
      <w:r>
        <w:rPr>
          <w:rFonts w:ascii="华文仿宋" w:eastAsia="华文仿宋" w:cs="华文仿宋" w:hint="eastAsia"/>
          <w:color w:val="auto"/>
          <w:sz w:val="28"/>
          <w:szCs w:val="28"/>
          <w:highlight w:val="auto"/>
        </w:rPr>
        <w:t>重视食品安全。从原料验收、洗刷切配、烹饪加工、生熟隔离、冷鲜处理、半成品存储、成品保护等各环节着手，杜绝食品安全事故的发生。严格执行索证制度，农药测试制度，预防食物中毒发生。因供应商方管理不善造成用餐人员食物中毒，由供应商负全部责任。</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3）</w:t>
      </w:r>
      <w:r>
        <w:rPr>
          <w:rFonts w:ascii="华文仿宋" w:eastAsia="华文仿宋" w:cs="华文仿宋" w:hint="eastAsia"/>
          <w:color w:val="auto"/>
          <w:sz w:val="28"/>
          <w:szCs w:val="28"/>
          <w:highlight w:val="auto"/>
        </w:rPr>
        <w:t>强化安全生产。严格遵守设备操作规程，防止发生人身设备安全事故。加强日常规范管理，防止割伤、跌伤、撞伤、扭伤、烧烫伤、触电等常见事故的发生，防止电器失火、烹调起火、抽烟失火、管道起火、加热设备起火以及其它人为因素造成的火灾等事故的发生。下班后和设备使用完后落实关气、关电、关水、关门检查制度，预防火灾、偷盗事件发生。定期邀请消防、安监、市场监督管理局等部门进行食堂安全检查，查看操作是否符合要求。对于供应商服务期间所发生的各类安全事故、消防事故、卫生事故等，由供应商承担全部责任。</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b/>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b/>
          <w:color w:val="auto"/>
          <w:sz w:val="28"/>
          <w:szCs w:val="28"/>
          <w:highlight w:val="auto"/>
        </w:rPr>
        <w:t>4</w:t>
      </w: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highlight w:val="auto"/>
        </w:rPr>
        <w:t>卫生管理：</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1）</w:t>
      </w:r>
      <w:r>
        <w:rPr>
          <w:rFonts w:ascii="华文仿宋" w:eastAsia="华文仿宋" w:cs="华文仿宋" w:hint="eastAsia"/>
          <w:color w:val="auto"/>
          <w:sz w:val="28"/>
          <w:szCs w:val="28"/>
          <w:highlight w:val="auto"/>
        </w:rPr>
        <w:t>抓好环境卫生。落实环境通风、四害消杀、垃圾处理等措施，厨房内部、售餐间和餐厅等各区域卫生保洁要做到定时清扫和随时保洁相结合，每天拖、洗地面三次，每周进行一次大扫除。卫生、服务、餐饮质量达到酒店三星级标准，自觉接受卫生管理部门和磋商管理人员对食堂工作检查、监督。</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2）</w:t>
      </w:r>
      <w:r>
        <w:rPr>
          <w:rFonts w:ascii="华文仿宋" w:eastAsia="华文仿宋" w:cs="华文仿宋" w:hint="eastAsia"/>
          <w:color w:val="auto"/>
          <w:sz w:val="28"/>
          <w:szCs w:val="28"/>
          <w:highlight w:val="auto"/>
        </w:rPr>
        <w:t>抓好</w:t>
      </w:r>
      <w:r>
        <w:rPr>
          <w:rFonts w:ascii="华文仿宋" w:eastAsia="华文仿宋" w:cs="华文仿宋" w:hint="eastAsia"/>
          <w:bCs/>
          <w:color w:val="auto"/>
          <w:sz w:val="28"/>
          <w:szCs w:val="28"/>
          <w:highlight w:val="auto"/>
        </w:rPr>
        <w:t>作业卫生。落实</w:t>
      </w:r>
      <w:r>
        <w:rPr>
          <w:rFonts w:ascii="华文仿宋" w:eastAsia="华文仿宋" w:cs="华文仿宋" w:hint="eastAsia"/>
          <w:color w:val="auto"/>
          <w:sz w:val="28"/>
          <w:szCs w:val="28"/>
          <w:highlight w:val="auto"/>
        </w:rPr>
        <w:t>炉灶作业、配菜间、冷菜间、点心间、粗加工间、洗涤间等区域的卫生管理，做好洗、切、配等各道程序的作业卫生工作；</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3）</w:t>
      </w:r>
      <w:r>
        <w:rPr>
          <w:rFonts w:ascii="华文仿宋" w:eastAsia="华文仿宋" w:cs="华文仿宋" w:hint="eastAsia"/>
          <w:color w:val="auto"/>
          <w:sz w:val="28"/>
          <w:szCs w:val="28"/>
          <w:highlight w:val="auto"/>
        </w:rPr>
        <w:t>抓好个人卫生。工作人员必须有良好的卫生习惯，每年必须参加体检，持证上岗。工作期间，工作衣、帽整洁统一，工号、口罩佩戴到位。</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4）</w:t>
      </w:r>
      <w:r>
        <w:rPr>
          <w:rFonts w:ascii="华文仿宋" w:eastAsia="华文仿宋" w:cs="华文仿宋" w:hint="eastAsia"/>
          <w:color w:val="auto"/>
          <w:sz w:val="28"/>
          <w:szCs w:val="28"/>
          <w:highlight w:val="auto"/>
        </w:rPr>
        <w:t>做好食堂垃圾分类及垃圾处理工作，按指定地点分类设置，不得随意放置。</w:t>
      </w:r>
    </w:p>
    <w:p>
      <w:pPr>
        <w:keepNext w:val="0"/>
        <w:keepLines w:val="0"/>
        <w:pageBreakBefore w:val="0"/>
        <w:widowControl w:val="0"/>
        <w:kinsoku/>
        <w:wordWrap/>
        <w:overflowPunct/>
        <w:topLinePunct w:val="0"/>
        <w:autoSpaceDE/>
        <w:autoSpaceDN/>
        <w:bidi w:val="0"/>
        <w:adjustRightInd w:val="0"/>
        <w:snapToGrid w:val="0"/>
        <w:spacing w:line="460" w:lineRule="exact"/>
        <w:ind w:firstLineChars="249" w:firstLine="697"/>
        <w:textAlignment w:val="auto"/>
        <w:rPr>
          <w:rFonts w:ascii="华文仿宋" w:eastAsia="华文仿宋" w:cs="华文仿宋" w:hint="eastAsia"/>
          <w:b/>
          <w:color w:val="auto"/>
          <w:sz w:val="28"/>
          <w:szCs w:val="28"/>
          <w:highlight w:val="auto"/>
        </w:rPr>
      </w:pP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highlight w:val="auto"/>
        </w:rPr>
        <w:t>5</w:t>
      </w: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highlight w:val="auto"/>
        </w:rPr>
        <w:t>成本管理：</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1）</w:t>
      </w:r>
      <w:r>
        <w:rPr>
          <w:rFonts w:ascii="华文仿宋" w:eastAsia="华文仿宋" w:cs="华文仿宋" w:hint="eastAsia"/>
          <w:color w:val="auto"/>
          <w:sz w:val="28"/>
          <w:szCs w:val="28"/>
          <w:highlight w:val="auto"/>
        </w:rPr>
        <w:t>加强成本核算。抓好餐饮原料、物料和能耗的综合管理工作，配合采购人做好成本核算；</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2）</w:t>
      </w:r>
      <w:r>
        <w:rPr>
          <w:rFonts w:ascii="华文仿宋" w:eastAsia="华文仿宋" w:cs="华文仿宋" w:hint="eastAsia"/>
          <w:color w:val="auto"/>
          <w:sz w:val="28"/>
          <w:szCs w:val="28"/>
          <w:highlight w:val="auto"/>
        </w:rPr>
        <w:t>精准数量统计。做好每日各品种菜肴的原料消耗数量、成品数量、销售数量的统计；</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highlight w:val="auto"/>
        </w:rPr>
        <w:t>3）</w:t>
      </w:r>
      <w:r>
        <w:rPr>
          <w:rFonts w:ascii="华文仿宋" w:eastAsia="华文仿宋" w:cs="华文仿宋" w:hint="eastAsia"/>
          <w:color w:val="auto"/>
          <w:sz w:val="28"/>
          <w:szCs w:val="28"/>
          <w:highlight w:val="auto"/>
        </w:rPr>
        <w:t>控制损耗浪费。结合食堂具体情况，在做好保障的基础上，抓好原材料损耗和能源消耗等加工成本的管控，抓好供需配比和成品浪费等成品和半成品的控制，努力降低损耗，提高绩效，力争代购代销食品无损耗，加工制作食品少损耗，全年实现食堂收支平衡。</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highlight w:val="auto"/>
        </w:rPr>
        <w:t>6</w:t>
      </w: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highlight w:val="auto"/>
        </w:rPr>
        <w:t>服务管理：</w:t>
      </w:r>
      <w:r>
        <w:rPr>
          <w:rFonts w:ascii="华文仿宋" w:eastAsia="华文仿宋" w:cs="华文仿宋" w:hint="eastAsia"/>
          <w:color w:val="auto"/>
          <w:sz w:val="28"/>
          <w:szCs w:val="28"/>
          <w:highlight w:val="auto"/>
        </w:rPr>
        <w:t>着眼机关食堂服务保障特点，立足餐饮行业的服务规范要求，从服务形象、服务品质、服务规范上不断维护、创新、改进，做好群体性服务和个性化服务的有机统一，努力提高机关干部对餐饮服务的满意率。</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highlight w:val="auto"/>
        </w:rPr>
        <w:t>7</w:t>
      </w:r>
      <w:r>
        <w:rPr>
          <w:rFonts w:ascii="华文仿宋" w:eastAsia="华文仿宋" w:cs="华文仿宋" w:hint="eastAsia"/>
          <w:b/>
          <w:color w:val="auto"/>
          <w:sz w:val="28"/>
          <w:szCs w:val="28"/>
          <w:lang w:eastAsia="zh-CN"/>
          <w:highlight w:val="auto"/>
        </w:rPr>
        <w:t>）</w:t>
      </w:r>
      <w:r>
        <w:rPr>
          <w:rFonts w:ascii="华文仿宋" w:eastAsia="华文仿宋" w:cs="华文仿宋" w:hint="eastAsia"/>
          <w:b/>
          <w:color w:val="auto"/>
          <w:sz w:val="28"/>
          <w:szCs w:val="28"/>
          <w:highlight w:val="auto"/>
        </w:rPr>
        <w:t>设备管理：</w:t>
      </w:r>
      <w:r>
        <w:rPr>
          <w:rFonts w:ascii="华文仿宋" w:eastAsia="华文仿宋" w:cs="华文仿宋" w:hint="eastAsia"/>
          <w:color w:val="auto"/>
          <w:sz w:val="28"/>
          <w:szCs w:val="28"/>
          <w:highlight w:val="auto"/>
        </w:rPr>
        <w:t>抓好设施设备的使用管理，严格落实设施设备的安全操作和正常维护措施，高效使用现有设施设备，确保设施设备的正常运行。餐具的正常年度破损率控制在3%以内，超过破损率乙方负责赔偿。</w:t>
      </w:r>
      <w:bookmarkStart w:id="4" w:name="_Toc416098594"/>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b/>
          <w:bCs/>
          <w:color w:val="auto"/>
          <w:kern w:val="44"/>
          <w:sz w:val="28"/>
          <w:szCs w:val="28"/>
          <w:highlight w:val="auto"/>
        </w:rPr>
      </w:pPr>
      <w:r>
        <w:rPr>
          <w:rFonts w:ascii="华文仿宋" w:eastAsia="华文仿宋" w:cs="华文仿宋" w:hint="eastAsia"/>
          <w:b/>
          <w:bCs/>
          <w:color w:val="auto"/>
          <w:kern w:val="44"/>
          <w:sz w:val="28"/>
          <w:szCs w:val="28"/>
          <w:lang w:val="en-US" w:eastAsia="zh-CN"/>
          <w:highlight w:val="auto"/>
        </w:rPr>
        <w:t>6.</w:t>
      </w:r>
      <w:r>
        <w:rPr>
          <w:rFonts w:ascii="华文仿宋" w:eastAsia="华文仿宋" w:cs="华文仿宋" w:hint="eastAsia"/>
          <w:b/>
          <w:bCs/>
          <w:color w:val="auto"/>
          <w:kern w:val="44"/>
          <w:sz w:val="28"/>
          <w:szCs w:val="28"/>
          <w:highlight w:val="auto"/>
        </w:rPr>
        <w:t>监督考评</w:t>
      </w:r>
      <w:bookmarkEnd w:id="4"/>
      <w:r>
        <w:rPr>
          <w:rFonts w:ascii="华文仿宋" w:eastAsia="华文仿宋" w:cs="华文仿宋" w:hint="eastAsia"/>
          <w:b/>
          <w:bCs/>
          <w:color w:val="auto"/>
          <w:kern w:val="44"/>
          <w:sz w:val="28"/>
          <w:szCs w:val="28"/>
          <w:highlight w:val="auto"/>
        </w:rPr>
        <w:t>方面</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1</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采购人对供应商实行监督考核，餐务涉及的所有区域和操作过程都属于监管范围。</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2</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采购人从供餐质量、服务质量、卫生标准、设备使用、成本管控、安全生产、日常管理、先进荣誉等方面定期对供应商进行检查和突击抽查，并根据检查、测评情况对供应商进行相应的奖励、处罚甚至解除服务合同。采购人有权按成交价的5%从合同款中扣留相应款项作为对供应商服务质量的考核资金，并根据考核结果在年度服务期满予以一并支付结算。</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3</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供应商须根据行业规范抓好日常管理，确保采购人食堂原有荣誉续存，争创行业新荣誉。</w:t>
      </w:r>
    </w:p>
    <w:p>
      <w:pPr>
        <w:keepNext w:val="0"/>
        <w:keepLines w:val="0"/>
        <w:pageBreakBefore w:val="0"/>
        <w:widowControl w:val="0"/>
        <w:tabs>
          <w:tab w:val="left" w:pos="540"/>
          <w:tab w:val="left" w:pos="780"/>
        </w:tabs>
        <w:kinsoku/>
        <w:wordWrap/>
        <w:overflowPunct/>
        <w:topLinePunct w:val="0"/>
        <w:autoSpaceDE/>
        <w:autoSpaceDN/>
        <w:bidi w:val="0"/>
        <w:spacing w:line="460" w:lineRule="exact"/>
        <w:ind w:firstLineChars="196" w:firstLine="549"/>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4</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供应商不得以任何形式转租、转让、分包、转包、抵押承包区域和服务内容，在承包区域只从事采购人认可的服务工作。在承包期间，供应商的任何股份配置变动应通知采购人。未经采购人书面同意，任何占有支配地位的股份转让将视为供应商出租、转让的行为。一经发现，采购人有权取消其受托资格，并要求供应商承担违约责任。</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5</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供应商不得经营餐饮之外的任何业务，如果超范围经营，需经双方协商。</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6</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 xml:space="preserve">供应商应建立内部考评机制：供应商需按照不低于成交价的6%的标准为其团队主要岗位人员设置年终考核奖，并按照采购人考核结果为依据向团队人员发放年终奖，发放方案应提前书面告知采购人并征求及尊重其意见。 </w:t>
      </w:r>
    </w:p>
    <w:p>
      <w:pPr>
        <w:keepNext w:val="0"/>
        <w:keepLines w:val="0"/>
        <w:pageBreakBefore w:val="0"/>
        <w:widowControl w:val="0"/>
        <w:kinsoku/>
        <w:wordWrap/>
        <w:overflowPunct/>
        <w:topLinePunct w:val="0"/>
        <w:autoSpaceDE/>
        <w:autoSpaceDN/>
        <w:bidi w:val="0"/>
        <w:spacing w:line="460" w:lineRule="exact"/>
        <w:ind w:firstLineChars="200" w:firstLine="560"/>
        <w:textAlignment w:val="auto"/>
        <w:rPr>
          <w:rFonts w:ascii="华文仿宋" w:eastAsia="华文仿宋" w:cs="华文仿宋" w:hint="eastAsia"/>
          <w:color w:val="auto"/>
          <w:sz w:val="28"/>
          <w:szCs w:val="28"/>
          <w:lang w:eastAsia="zh-CN"/>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7</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采购人有权建立对供应商的服务考核机制</w:t>
      </w:r>
      <w:r>
        <w:rPr>
          <w:rFonts w:ascii="华文仿宋" w:eastAsia="华文仿宋" w:cs="华文仿宋" w:hint="eastAsia"/>
          <w:color w:val="auto"/>
          <w:sz w:val="28"/>
          <w:szCs w:val="28"/>
          <w:lang w:eastAsia="zh-CN"/>
          <w:highlight w:val="auto"/>
        </w:rPr>
        <w:t>。</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b/>
          <w:bCs/>
          <w:color w:val="auto"/>
          <w:kern w:val="44"/>
          <w:sz w:val="28"/>
          <w:szCs w:val="28"/>
          <w:highlight w:val="auto"/>
        </w:rPr>
      </w:pPr>
      <w:bookmarkStart w:id="5" w:name="_Toc416098595"/>
      <w:r>
        <w:rPr>
          <w:rFonts w:ascii="华文仿宋" w:eastAsia="华文仿宋" w:cs="华文仿宋" w:hint="eastAsia"/>
          <w:b/>
          <w:bCs/>
          <w:color w:val="auto"/>
          <w:kern w:val="44"/>
          <w:sz w:val="28"/>
          <w:szCs w:val="28"/>
          <w:lang w:val="en-US" w:eastAsia="zh-CN"/>
          <w:highlight w:val="auto"/>
        </w:rPr>
        <w:t>7.</w:t>
      </w:r>
      <w:r>
        <w:rPr>
          <w:rFonts w:ascii="华文仿宋" w:eastAsia="华文仿宋" w:cs="华文仿宋" w:hint="eastAsia"/>
          <w:b/>
          <w:bCs/>
          <w:color w:val="auto"/>
          <w:kern w:val="44"/>
          <w:sz w:val="28"/>
          <w:szCs w:val="28"/>
          <w:highlight w:val="auto"/>
        </w:rPr>
        <w:t>服务费用</w:t>
      </w:r>
      <w:bookmarkEnd w:id="5"/>
      <w:r>
        <w:rPr>
          <w:rFonts w:ascii="华文仿宋" w:eastAsia="华文仿宋" w:cs="华文仿宋" w:hint="eastAsia"/>
          <w:b/>
          <w:bCs/>
          <w:color w:val="auto"/>
          <w:kern w:val="44"/>
          <w:sz w:val="28"/>
          <w:szCs w:val="28"/>
          <w:highlight w:val="auto"/>
        </w:rPr>
        <w:t>方面</w:t>
      </w:r>
    </w:p>
    <w:p>
      <w:pPr>
        <w:keepNext w:val="0"/>
        <w:keepLines w:val="0"/>
        <w:pageBreakBefore w:val="0"/>
        <w:widowControl w:val="0"/>
        <w:tabs>
          <w:tab w:val="left" w:pos="540"/>
          <w:tab w:val="left" w:pos="780"/>
        </w:tabs>
        <w:kinsoku/>
        <w:wordWrap/>
        <w:overflowPunct/>
        <w:topLinePunct w:val="0"/>
        <w:autoSpaceDE/>
        <w:autoSpaceDN/>
        <w:bidi w:val="0"/>
        <w:spacing w:line="460" w:lineRule="exact"/>
        <w:ind w:firstLineChars="196" w:firstLine="549"/>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1</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本项目投标报价为年度服务劳务报价、管理费报价及其他相关支出的报价等，报价应包括供应商为履行合同所需一切费用、成本、开支、利润等。其中，供应商的劳务报价应包括为完成本项目配置的所有工作人员的一切费用，包括工资薪酬（含相应的税金）、福利及社会保险及可能向员工提供的住宿费用等一切劳动用工开支；供应商的管理费报价应包括完成本项目投入的间接人员的费用、管理资源投入费用、办公费用、利润以及款项支付过程产生的税金等。供应商对合法用工及用工风险全面承包。除双方另有约定外，供应商为履行本合同的其他一切开支已经包括在项目报价中。</w:t>
      </w:r>
    </w:p>
    <w:p>
      <w:pPr>
        <w:keepNext w:val="0"/>
        <w:keepLines w:val="0"/>
        <w:pageBreakBefore w:val="0"/>
        <w:widowControl w:val="0"/>
        <w:tabs>
          <w:tab w:val="left" w:pos="540"/>
          <w:tab w:val="left" w:pos="780"/>
        </w:tabs>
        <w:kinsoku/>
        <w:wordWrap/>
        <w:overflowPunct/>
        <w:topLinePunct w:val="0"/>
        <w:autoSpaceDE/>
        <w:autoSpaceDN/>
        <w:bidi w:val="0"/>
        <w:spacing w:line="460" w:lineRule="exact"/>
        <w:ind w:firstLineChars="196" w:firstLine="549"/>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2</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加班费：采购人要求供应商员工在合同约定服务范围（包厢用餐接待服务不计算加班费，按桌餐服务费另行计算）外加班的，加班费不在本次报价中，由采购人根据实际加班的情况参照供应商实际加班的人数按月结算，加班费的计算方式（含节假日加班等）由采购人按《中华人民共和国劳动法》第四十四条相关规定按月结算【①日常加班费=（月工资÷22天÷8）×1.5倍)；②双休日加班费=(月工资÷22天÷8）×2倍；③法定休假日加班费=(月工资÷22天÷8）×3倍】。</w:t>
      </w:r>
    </w:p>
    <w:p>
      <w:pPr>
        <w:keepNext w:val="0"/>
        <w:keepLines w:val="0"/>
        <w:pageBreakBefore w:val="0"/>
        <w:widowControl w:val="0"/>
        <w:tabs>
          <w:tab w:val="left" w:pos="540"/>
          <w:tab w:val="left" w:pos="780"/>
        </w:tabs>
        <w:kinsoku/>
        <w:wordWrap/>
        <w:overflowPunct/>
        <w:topLinePunct w:val="0"/>
        <w:autoSpaceDE/>
        <w:autoSpaceDN/>
        <w:bidi w:val="0"/>
        <w:spacing w:line="460" w:lineRule="exact"/>
        <w:ind w:firstLineChars="196" w:firstLine="549"/>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3</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桌餐服务费：接待桌餐服务费</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lang w:val="en-US" w:eastAsia="zh-CN"/>
          <w:highlight w:val="auto"/>
        </w:rPr>
        <w:t>8人以下</w:t>
      </w:r>
      <w:r>
        <w:rPr>
          <w:rFonts w:ascii="华文仿宋" w:eastAsia="华文仿宋" w:cs="华文仿宋" w:hint="eastAsia"/>
          <w:color w:val="auto"/>
          <w:sz w:val="28"/>
          <w:szCs w:val="28"/>
          <w:highlight w:val="auto"/>
        </w:rPr>
        <w:t>300元/桌</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lang w:val="en-US" w:eastAsia="zh-CN"/>
          <w:highlight w:val="auto"/>
        </w:rPr>
        <w:t>8人以上（含8人）500元/桌</w:t>
      </w:r>
      <w:r>
        <w:rPr>
          <w:rFonts w:ascii="华文仿宋" w:eastAsia="华文仿宋" w:cs="华文仿宋" w:hint="eastAsia"/>
          <w:color w:val="auto"/>
          <w:sz w:val="28"/>
          <w:szCs w:val="28"/>
          <w:highlight w:val="auto"/>
        </w:rPr>
        <w:t>（接待桌餐加班费用不再另行结算），不在本次报价中，实际发生数量按月结算。</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4</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采购人根据合同支付供应商的以上餐饮外包服务费。</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5</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供应商所涉及的员工聘用、工资福利、考勤考核、劳资纠纷等所有内部管理事务由供应商自行负责，但双方另有约定除外。</w:t>
      </w:r>
    </w:p>
    <w:p>
      <w:pPr>
        <w:keepNext w:val="0"/>
        <w:keepLines w:val="0"/>
        <w:pageBreakBefore w:val="0"/>
        <w:widowControl w:val="0"/>
        <w:kinsoku/>
        <w:wordWrap/>
        <w:overflowPunct/>
        <w:topLinePunct w:val="0"/>
        <w:autoSpaceDE/>
        <w:autoSpaceDN/>
        <w:bidi w:val="0"/>
        <w:adjustRightInd w:val="0"/>
        <w:snapToGrid w:val="0"/>
        <w:spacing w:line="460" w:lineRule="exact"/>
        <w:ind w:firstLineChars="200" w:firstLine="560"/>
        <w:textAlignment w:val="auto"/>
        <w:rPr>
          <w:rFonts w:ascii="华文仿宋" w:eastAsia="华文仿宋" w:cs="华文仿宋" w:hint="eastAsia"/>
          <w:color w:val="auto"/>
          <w:sz w:val="28"/>
          <w:szCs w:val="28"/>
          <w:highlight w:val="auto"/>
        </w:rPr>
      </w:pP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6</w:t>
      </w:r>
      <w:r>
        <w:rPr>
          <w:rFonts w:ascii="华文仿宋" w:eastAsia="华文仿宋" w:cs="华文仿宋" w:hint="eastAsia"/>
          <w:color w:val="auto"/>
          <w:sz w:val="28"/>
          <w:szCs w:val="28"/>
          <w:lang w:eastAsia="zh-CN"/>
          <w:highlight w:val="auto"/>
        </w:rPr>
        <w:t>）</w:t>
      </w:r>
      <w:r>
        <w:rPr>
          <w:rFonts w:ascii="华文仿宋" w:eastAsia="华文仿宋" w:cs="华文仿宋" w:hint="eastAsia"/>
          <w:color w:val="auto"/>
          <w:sz w:val="28"/>
          <w:szCs w:val="28"/>
          <w:highlight w:val="auto"/>
        </w:rPr>
        <w:t>如食堂有特殊接待任务（例如节假日、工作日加班、公务接待、政府重大活动、防台抗寒等突发性应急处置等），供应商务必配备相应数量及专业的服务人员以满足食堂运行的正常需要。</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jc w:val="both"/>
        <w:textAlignment w:val="auto"/>
        <w:rPr>
          <w:rFonts w:ascii="华文仿宋" w:eastAsia="华文仿宋" w:cs="华文仿宋" w:hint="eastAsia"/>
          <w:color w:val="auto"/>
          <w:sz w:val="28"/>
          <w:szCs w:val="28"/>
          <w:lang w:val="en-US" w:eastAsia="zh-CN"/>
          <w:highlight w:val="auto"/>
        </w:rPr>
      </w:pPr>
      <w:r>
        <w:rPr>
          <w:rFonts w:ascii="华文仿宋" w:eastAsia="华文仿宋" w:cs="华文仿宋" w:hint="eastAsia"/>
          <w:color w:val="auto"/>
          <w:sz w:val="28"/>
          <w:szCs w:val="28"/>
          <w:lang w:val="en-US" w:eastAsia="zh-CN"/>
          <w:highlight w:val="auto"/>
        </w:rPr>
        <w:t>（五）投标报价及结算价格</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jc w:val="both"/>
        <w:textAlignment w:val="auto"/>
        <w:rPr>
          <w:rFonts w:ascii="华文仿宋" w:eastAsia="华文仿宋" w:cs="华文仿宋" w:hint="eastAsia"/>
          <w:color w:val="auto"/>
          <w:sz w:val="28"/>
          <w:szCs w:val="28"/>
          <w:lang w:val="en-US" w:eastAsia="zh-CN"/>
          <w:highlight w:val="auto"/>
        </w:rPr>
      </w:pPr>
      <w:r>
        <w:rPr>
          <w:rFonts w:ascii="华文仿宋" w:eastAsia="华文仿宋" w:cs="华文仿宋" w:hint="eastAsia"/>
          <w:color w:val="auto"/>
          <w:sz w:val="28"/>
          <w:szCs w:val="28"/>
          <w:lang w:val="en-US" w:eastAsia="zh-CN"/>
          <w:highlight w:val="auto"/>
        </w:rPr>
        <w:t>（1）投标报价</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jc w:val="both"/>
        <w:textAlignment w:val="auto"/>
        <w:rPr>
          <w:rFonts w:ascii="华文仿宋" w:eastAsia="华文仿宋" w:cs="华文仿宋" w:hint="eastAsia"/>
          <w:color w:val="auto"/>
          <w:sz w:val="28"/>
          <w:szCs w:val="28"/>
          <w:lang w:val="zh-CN"/>
          <w:highlight w:val="auto"/>
        </w:rPr>
      </w:pPr>
      <w:r>
        <w:rPr>
          <w:rFonts w:ascii="华文仿宋" w:eastAsia="华文仿宋" w:cs="华文仿宋" w:hint="eastAsia"/>
          <w:color w:val="auto"/>
          <w:sz w:val="28"/>
          <w:szCs w:val="28"/>
          <w:lang w:val="en-US" w:eastAsia="zh-CN"/>
          <w:highlight w:val="auto"/>
        </w:rPr>
        <w:t>本项目的投标报价以</w:t>
      </w:r>
      <w:r>
        <w:rPr>
          <w:rFonts w:ascii="华文仿宋" w:eastAsia="华文仿宋" w:cs="华文仿宋" w:hint="eastAsia"/>
          <w:color w:val="auto"/>
          <w:sz w:val="28"/>
          <w:szCs w:val="28"/>
          <w:lang w:val="zh-CN"/>
          <w:highlight w:val="auto"/>
        </w:rPr>
        <w:t>最低价为基准价。</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jc w:val="both"/>
        <w:textAlignment w:val="auto"/>
        <w:rPr>
          <w:rFonts w:ascii="华文仿宋" w:eastAsia="华文仿宋" w:cs="华文仿宋" w:hint="eastAsia"/>
          <w:color w:val="auto"/>
          <w:sz w:val="28"/>
          <w:szCs w:val="28"/>
          <w:lang w:val="en-US" w:eastAsia="zh-CN"/>
          <w:highlight w:val="auto"/>
        </w:rPr>
      </w:pPr>
      <w:r>
        <w:rPr>
          <w:rFonts w:ascii="华文仿宋" w:eastAsia="华文仿宋" w:cs="华文仿宋" w:hint="eastAsia"/>
          <w:color w:val="auto"/>
          <w:sz w:val="28"/>
          <w:szCs w:val="28"/>
          <w:lang w:val="en-US" w:eastAsia="zh-CN"/>
          <w:highlight w:val="auto"/>
        </w:rPr>
        <w:t>（2）结算价格</w:t>
      </w:r>
    </w:p>
    <w:p>
      <w:pPr>
        <w:keepNext w:val="0"/>
        <w:keepLines w:val="0"/>
        <w:pageBreakBefore w:val="0"/>
        <w:widowControl w:val="0"/>
        <w:kinsoku/>
        <w:wordWrap/>
        <w:overflowPunct/>
        <w:topLinePunct w:val="0"/>
        <w:bidi w:val="0"/>
        <w:snapToGrid w:val="0"/>
        <w:spacing w:line="460" w:lineRule="exact"/>
        <w:ind w:firstLine="480"/>
        <w:textAlignment w:val="auto"/>
        <w:rPr>
          <w:rFonts w:ascii="华文仿宋" w:eastAsia="华文仿宋" w:cs="华文仿宋" w:hint="eastAsia"/>
          <w:bCs/>
          <w:color w:val="auto"/>
          <w:sz w:val="28"/>
          <w:szCs w:val="28"/>
          <w:u w:val="single"/>
          <w:highlight w:val="auto"/>
        </w:rPr>
      </w:pPr>
      <w:r>
        <w:rPr>
          <w:rFonts w:ascii="华文仿宋" w:eastAsia="华文仿宋" w:cs="华文仿宋" w:hint="eastAsia"/>
          <w:b/>
          <w:color w:val="auto"/>
          <w:sz w:val="28"/>
          <w:szCs w:val="28"/>
          <w:u w:val="single"/>
          <w:highlight w:val="auto"/>
        </w:rPr>
        <w:t>1.</w:t>
      </w:r>
      <w:r>
        <w:rPr>
          <w:rFonts w:ascii="华文仿宋" w:eastAsia="华文仿宋" w:cs="华文仿宋" w:hint="eastAsia"/>
          <w:bCs/>
          <w:color w:val="auto"/>
          <w:sz w:val="28"/>
          <w:szCs w:val="28"/>
          <w:u w:val="single"/>
          <w:highlight w:val="auto"/>
        </w:rPr>
        <w:t>采购人按成交价的5%从合同款中扣留相应款项作为对供应商服务质量的考核资金，并根据考核结果在年度服务期满予以一并支付结算，其余款项采购人按月平均支付服务费，供应商按要求出具发票，无特殊情况采购人10日内付款。支付的服务费为含税费用，无需再支付税金。</w:t>
      </w:r>
    </w:p>
    <w:p>
      <w:pPr>
        <w:keepNext w:val="0"/>
        <w:keepLines w:val="0"/>
        <w:pageBreakBefore w:val="0"/>
        <w:widowControl w:val="0"/>
        <w:kinsoku/>
        <w:wordWrap/>
        <w:overflowPunct/>
        <w:topLinePunct w:val="0"/>
        <w:bidi w:val="0"/>
        <w:spacing w:line="460" w:lineRule="exact"/>
        <w:ind w:firstLineChars="200" w:firstLine="560"/>
        <w:textAlignment w:val="auto"/>
        <w:rPr>
          <w:rFonts w:ascii="华文仿宋" w:eastAsia="华文仿宋" w:cs="华文仿宋" w:hint="eastAsia"/>
          <w:color w:val="auto"/>
          <w:sz w:val="28"/>
          <w:szCs w:val="28"/>
          <w:u w:val="single"/>
          <w:highlight w:val="auto"/>
        </w:rPr>
      </w:pPr>
      <w:r>
        <w:rPr>
          <w:rFonts w:ascii="华文仿宋" w:eastAsia="华文仿宋" w:cs="华文仿宋" w:hint="eastAsia"/>
          <w:b/>
          <w:color w:val="auto"/>
          <w:sz w:val="28"/>
          <w:szCs w:val="28"/>
          <w:u w:val="single"/>
          <w:highlight w:val="auto"/>
        </w:rPr>
        <w:t>2.供应商对其为采购人服务的员工按国家相关规定缴纳社保，供应商投标时报价需包含社保费用，实际履行服务时如有不符合缴纳社保的人员，可为其缴纳相应不超过国家最低档社保费用的商业保险、按标准缴纳残保金，费用差额部分由采购人审核后按实扣除。</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jc w:val="both"/>
        <w:textAlignment w:val="auto"/>
        <w:rPr>
          <w:rFonts w:ascii="华文仿宋" w:eastAsia="华文仿宋" w:cs="华文仿宋" w:hint="eastAsia"/>
          <w:color w:val="auto"/>
          <w:sz w:val="28"/>
          <w:szCs w:val="28"/>
          <w:lang w:val="en-US" w:eastAsia="zh-CN"/>
          <w:highlight w:val="auto"/>
        </w:rPr>
      </w:pPr>
      <w:r>
        <w:rPr>
          <w:rFonts w:ascii="华文仿宋" w:eastAsia="华文仿宋" w:cs="华文仿宋" w:hint="eastAsia"/>
          <w:color w:val="auto"/>
          <w:sz w:val="28"/>
          <w:szCs w:val="28"/>
          <w:lang w:val="en-US" w:eastAsia="zh-CN"/>
          <w:highlight w:val="auto"/>
        </w:rPr>
        <w:t>6.履约保证金</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jc w:val="both"/>
        <w:textAlignment w:val="auto"/>
        <w:rPr>
          <w:rFonts w:ascii="华文仿宋" w:eastAsia="华文仿宋" w:cs="华文仿宋" w:hint="eastAsia"/>
          <w:color w:val="auto"/>
          <w:sz w:val="28"/>
          <w:szCs w:val="28"/>
          <w:lang w:val="en-US" w:eastAsia="zh-CN"/>
          <w:highlight w:val="auto"/>
        </w:rPr>
      </w:pPr>
      <w:r>
        <w:rPr>
          <w:rFonts w:ascii="华文仿宋" w:eastAsia="华文仿宋" w:cs="华文仿宋" w:hint="eastAsia"/>
          <w:color w:val="auto"/>
          <w:sz w:val="28"/>
          <w:szCs w:val="28"/>
          <w:lang w:val="en-US" w:eastAsia="zh-CN"/>
          <w:highlight w:val="auto"/>
        </w:rPr>
        <w:t>履约保证金按人民币伍万元(￥50000.00元)缴纳至采购人指定账户或提供履约保函，于经营服务期满且服务已达到招标文件与合同约定的要求及中标人的承诺后无息退还。</w:t>
      </w:r>
    </w:p>
    <w:p>
      <w:pPr>
        <w:keepNext w:val="0"/>
        <w:keepLines w:val="0"/>
        <w:pageBreakBefore w:val="0"/>
        <w:widowControl w:val="0"/>
        <w:kinsoku/>
        <w:wordWrap/>
        <w:overflowPunct/>
        <w:topLinePunct w:val="0"/>
        <w:autoSpaceDE/>
        <w:autoSpaceDN/>
        <w:bidi w:val="0"/>
        <w:adjustRightInd/>
        <w:snapToGrid/>
        <w:spacing w:line="480" w:lineRule="exact"/>
        <w:ind w:left="0" w:firstLineChars="200" w:firstLine="560"/>
        <w:textAlignment w:val="auto"/>
        <w:rPr>
          <w:rFonts w:ascii="华文仿宋" w:eastAsia="华文仿宋" w:cs="华文仿宋" w:hint="eastAsia"/>
          <w:b/>
          <w:bCs/>
          <w:color w:val="auto"/>
          <w:sz w:val="28"/>
          <w:szCs w:val="28"/>
          <w:highlight w:val="auto"/>
        </w:rPr>
      </w:pPr>
      <w:r>
        <w:rPr>
          <w:rFonts w:ascii="华文仿宋" w:eastAsia="华文仿宋" w:cs="华文仿宋" w:hint="eastAsia"/>
          <w:b/>
          <w:bCs/>
          <w:color w:val="auto"/>
          <w:kern w:val="2"/>
          <w:sz w:val="28"/>
          <w:szCs w:val="28"/>
          <w:lang w:val="en-US" w:eastAsia="zh-CN" w:bidi="ar-SA"/>
          <w:highlight w:val="auto"/>
        </w:rPr>
        <w:t>六、</w:t>
      </w:r>
      <w:r>
        <w:rPr>
          <w:rFonts w:ascii="华文仿宋" w:eastAsia="华文仿宋" w:cs="华文仿宋" w:hint="eastAsia"/>
          <w:b/>
          <w:bCs/>
          <w:color w:val="auto"/>
          <w:sz w:val="28"/>
          <w:szCs w:val="28"/>
          <w:lang w:val="en-US" w:eastAsia="zh-CN"/>
          <w:highlight w:val="auto"/>
        </w:rPr>
        <w:t>项目验收</w:t>
      </w:r>
    </w:p>
    <w:p>
      <w:pPr>
        <w:pStyle w:val="15"/>
        <w:keepNext w:val="0"/>
        <w:keepLines w:val="0"/>
        <w:pageBreakBefore w:val="0"/>
        <w:widowControl w:val="0"/>
        <w:kinsoku/>
        <w:wordWrap/>
        <w:overflowPunct/>
        <w:topLinePunct w:val="0"/>
        <w:autoSpaceDE/>
        <w:autoSpaceDN/>
        <w:bidi w:val="0"/>
        <w:adjustRightInd/>
        <w:spacing w:after="0" w:line="480" w:lineRule="exact"/>
        <w:ind w:firstLineChars="200" w:firstLine="560"/>
        <w:textAlignment w:val="auto"/>
        <w:rPr>
          <w:rFonts w:ascii="华文仿宋" w:eastAsia="华文仿宋" w:cs="华文仿宋" w:hint="eastAsia"/>
          <w:b w:val="0"/>
          <w:bCs w:val="0"/>
          <w:color w:val="auto"/>
          <w:sz w:val="28"/>
          <w:szCs w:val="28"/>
          <w:lang w:val="en-US" w:eastAsia="zh-CN"/>
          <w:highlight w:val="auto"/>
        </w:rPr>
      </w:pPr>
      <w:r>
        <w:rPr>
          <w:rFonts w:ascii="华文仿宋" w:eastAsia="华文仿宋" w:cs="华文仿宋" w:hint="eastAsia"/>
          <w:b w:val="0"/>
          <w:bCs w:val="0"/>
          <w:color w:val="auto"/>
          <w:sz w:val="28"/>
          <w:szCs w:val="28"/>
          <w:lang w:val="en-US" w:eastAsia="zh-CN"/>
          <w:highlight w:val="auto"/>
        </w:rPr>
        <w:t>由采购人组织验收。</w:t>
      </w:r>
    </w:p>
    <w:p>
      <w:pPr>
        <w:keepNext w:val="0"/>
        <w:keepLines w:val="0"/>
        <w:pageBreakBefore w:val="0"/>
        <w:widowControl w:val="0"/>
        <w:kinsoku/>
        <w:wordWrap/>
        <w:overflowPunct/>
        <w:topLinePunct w:val="0"/>
        <w:autoSpaceDE/>
        <w:autoSpaceDN/>
        <w:bidi w:val="0"/>
        <w:adjustRightInd/>
        <w:snapToGrid/>
        <w:spacing w:line="460" w:lineRule="exact"/>
        <w:ind w:left="0" w:firstLineChars="200" w:firstLine="560"/>
        <w:jc w:val="both"/>
        <w:textAlignment w:val="auto"/>
        <w:rPr>
          <w:rFonts w:ascii="华文仿宋" w:eastAsia="华文仿宋" w:cs="华文仿宋" w:hint="eastAsia"/>
          <w:b/>
          <w:bCs/>
          <w:color w:val="auto"/>
          <w:sz w:val="28"/>
          <w:szCs w:val="28"/>
          <w:lang w:val="en-US" w:eastAsia="zh-CN"/>
          <w:highlight w:val="auto"/>
        </w:rPr>
      </w:pPr>
      <w:r>
        <w:rPr>
          <w:rFonts w:ascii="华文仿宋" w:eastAsia="华文仿宋" w:cs="华文仿宋" w:hint="eastAsia"/>
          <w:b/>
          <w:bCs/>
          <w:color w:val="auto"/>
          <w:sz w:val="28"/>
          <w:szCs w:val="28"/>
          <w:lang w:val="en-US" w:eastAsia="zh-CN"/>
          <w:highlight w:val="auto"/>
        </w:rPr>
        <w:t>七、其他要求</w:t>
      </w:r>
    </w:p>
    <w:p>
      <w:pPr>
        <w:spacing w:line="460" w:lineRule="exact"/>
        <w:ind w:firstLineChars="200" w:firstLine="560"/>
        <w:rPr>
          <w:rFonts w:ascii="华文仿宋" w:eastAsia="华文仿宋" w:cs="华文仿宋" w:hint="eastAsia"/>
          <w:b/>
          <w:bCs/>
          <w:color w:val="auto"/>
          <w:sz w:val="28"/>
          <w:szCs w:val="28"/>
          <w:lang w:val="en-US" w:eastAsia="zh-CN"/>
          <w:highlight w:val="auto"/>
        </w:rPr>
      </w:pPr>
      <w:r>
        <w:rPr>
          <w:rFonts w:ascii="华文仿宋" w:eastAsia="华文仿宋" w:cs="华文仿宋" w:hint="eastAsia"/>
          <w:b/>
          <w:bCs/>
          <w:color w:val="auto"/>
          <w:sz w:val="28"/>
          <w:szCs w:val="28"/>
          <w:lang w:val="en-US" w:eastAsia="zh-CN"/>
          <w:highlight w:val="auto"/>
        </w:rPr>
        <w:t>项目服务期满后采购人重新招标，在采购人未招标下一个供应商之前，中标供应商要求继续延期服务，服务标准和服务费用按原中标价结算。</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宋体">
    <w:panose1 w:val="02010600030101010101"/>
    <w:charset w:val="81"/>
    <w:family w:val="roman"/>
    <w:pitch w:val="variable"/>
    <w:sig w:usb0="00000003" w:usb1="288F0000" w:usb2="00000006" w:usb3="00000000" w:csb0="00040001" w:csb1="00000000"/>
  </w:font>
  <w:font w:name="华文仿宋">
    <w:panose1 w:val="02010600040101010101"/>
    <w:charset w:val="86"/>
    <w:family w:val="auto"/>
    <w:pitch w:val="variable"/>
    <w:sig w:usb0="00000287" w:usb1="080F0000" w:usb2="00000000" w:usb3="00000000" w:csb0="0004009F" w:csb1="DFD70000"/>
  </w:font>
  <w:font w:name="Times New Roman">
    <w:panose1 w:val="02020603050405020304"/>
    <w:charset w:val="CC"/>
    <w:family w:val="roman"/>
    <w:pitch w:val="variable"/>
    <w:sig w:usb0="E0002AFF" w:usb1="C0007841" w:usb2="00000009" w:usb3="00000000" w:csb0="400001FF" w:csb1="FFFF0000"/>
  </w:font>
  <w:font w:name="Calibri">
    <w:panose1 w:val="020F0502020204030204"/>
    <w:charset w:val="00"/>
    <w:family w:val="auto"/>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variable"/>
    <w:sig w:usb0="800002BF" w:usb1="38CF7CFA" w:usb2="00000016" w:usb3="00000000" w:csb0="00040001" w:csb1="00000000"/>
  </w:font>
  <w:font w:name="Symbol">
    <w:panose1 w:val="05050102010706020507"/>
    <w:charset w:val="02"/>
    <w:family w:val="auto"/>
    <w:pitch w:val="variable"/>
    <w:sig w:usb0="00000000" w:usb1="00000000" w:usb2="00000000" w:usb3="00000000" w:csb0="8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6E751ABB"/>
    <w:multiLevelType w:val="multilevel"/>
    <w:tmpl w:val="6E751ABB"/>
    <w:lvl w:ilvl="0">
      <w:start w:val="1"/>
      <w:numFmt w:val="bullet"/>
      <w:lvlRestart w:val="0"/>
      <w:lvlText w:val=""/>
      <w:lvlJc w:val="left"/>
      <w:pPr>
        <w:ind w:left="720" w:hanging="360"/>
      </w:pPr>
      <w:rPr>
        <w:rFonts w:ascii="Symbol" w:hAnsi="Symbol" w:cs="Symbol" w:hint="default"/>
        <w:sz w:val="20"/>
      </w:rPr>
    </w:lvl>
    <w:lvl w:ilvl="1">
      <w:start w:val="1"/>
      <w:numFmt w:val="bullet"/>
      <w:lvlText w:val=""/>
      <w:lvlJc w:val="left"/>
      <w:pPr>
        <w:ind w:left="1440" w:hanging="360"/>
      </w:pPr>
      <w:rPr>
        <w:rFonts w:ascii="Symbol" w:hAnsi="Symbol" w:cs="Symbol" w:hint="default"/>
        <w:sz w:val="20"/>
      </w:rPr>
    </w:lvl>
    <w:lvl w:ilvl="2">
      <w:start w:val="1"/>
      <w:numFmt w:val="bullet"/>
      <w:lvlText w:val=""/>
      <w:lvlJc w:val="left"/>
      <w:pPr>
        <w:ind w:left="2160" w:hanging="360"/>
      </w:pPr>
      <w:rPr>
        <w:rFonts w:ascii="Symbol" w:hAnsi="Symbol" w:cs="Symbol" w:hint="default"/>
        <w:sz w:val="20"/>
      </w:rPr>
    </w:lvl>
    <w:lvl w:ilvl="3">
      <w:start w:val="1"/>
      <w:numFmt w:val="bullet"/>
      <w:lvlText w:val=""/>
      <w:lvlJc w:val="left"/>
      <w:pPr>
        <w:ind w:left="2880" w:hanging="360"/>
      </w:pPr>
      <w:rPr>
        <w:rFonts w:ascii="Symbol" w:hAnsi="Symbol" w:cs="Symbol" w:hint="default"/>
        <w:sz w:val="20"/>
      </w:rPr>
    </w:lvl>
    <w:lvl w:ilvl="4">
      <w:start w:val="1"/>
      <w:numFmt w:val="bullet"/>
      <w:lvlText w:val=""/>
      <w:lvlJc w:val="left"/>
      <w:pPr>
        <w:ind w:left="3600" w:hanging="360"/>
      </w:pPr>
      <w:rPr>
        <w:rFonts w:ascii="Symbol" w:hAnsi="Symbol" w:cs="Symbol" w:hint="default"/>
        <w:sz w:val="20"/>
      </w:rPr>
    </w:lvl>
    <w:lvl w:ilvl="5">
      <w:start w:val="1"/>
      <w:numFmt w:val="bullet"/>
      <w:lvlText w:val=""/>
      <w:lvlJc w:val="left"/>
      <w:pPr>
        <w:ind w:left="4320" w:hanging="360"/>
      </w:pPr>
      <w:rPr>
        <w:rFonts w:ascii="Symbol" w:hAnsi="Symbol" w:cs="Symbol" w:hint="default"/>
        <w:sz w:val="20"/>
      </w:rPr>
    </w:lvl>
    <w:lvl w:ilvl="6">
      <w:start w:val="1"/>
      <w:numFmt w:val="bullet"/>
      <w:lvlText w:val=""/>
      <w:lvlJc w:val="left"/>
      <w:pPr>
        <w:ind w:left="5040" w:hanging="360"/>
      </w:pPr>
      <w:rPr>
        <w:rFonts w:ascii="Symbol" w:hAnsi="Symbol" w:cs="Symbol" w:hint="default"/>
        <w:sz w:val="20"/>
      </w:rPr>
    </w:lvl>
    <w:lvl w:ilvl="7">
      <w:start w:val="1"/>
      <w:numFmt w:val="bullet"/>
      <w:lvlText w:val=""/>
      <w:lvlJc w:val="left"/>
      <w:pPr>
        <w:ind w:left="5760" w:hanging="360"/>
      </w:pPr>
      <w:rPr>
        <w:rFonts w:ascii="Symbol" w:hAnsi="Symbol" w:cs="Symbol" w:hint="default"/>
        <w:sz w:val="20"/>
      </w:rPr>
    </w:lvl>
    <w:lvl w:ilvl="8">
      <w:start w:val="1"/>
      <w:numFmt w:val="bullet"/>
      <w:lvlText w:val=""/>
      <w:lvlJc w:val="left"/>
      <w:pPr>
        <w:ind w:left="6480" w:hanging="360"/>
      </w:pPr>
      <w:rPr>
        <w:rFonts w:ascii="Symbol" w:hAnsi="Symbol" w:cs="Symbol" w:hint="default"/>
        <w:sz w:val="20"/>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75"/>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next w:val="0"/>
    <w:link w:val="1Char"/>
    <w:pPr>
      <w:widowControl w:val="0"/>
      <w:autoSpaceDE w:val="0"/>
      <w:autoSpaceDN w:val="0"/>
      <w:adjustRightInd w:val="0"/>
      <w:spacing w:line="400" w:lineRule="exact"/>
      <w:jc w:val="center"/>
      <w:outlineLvl w:val="0"/>
    </w:pPr>
    <w:rPr>
      <w:rFonts w:ascii="Times New Roman" w:eastAsia="宋体" w:cs="Arial" w:hAnsi="Times New Roman"/>
      <w:b/>
      <w:bCs/>
      <w:kern w:val="0"/>
      <w:sz w:val="36"/>
      <w:szCs w:val="36"/>
      <w:lang w:val="en-US" w:eastAsia="zh-CN" w:bidi="ar-SA"/>
    </w:rPr>
  </w:style>
  <w:style w:type="character" w:customStyle="1" w:styleId="1Char">
    <w:name w:val="heading 1 Char"/>
    <w:basedOn w:val="10"/>
    <w:link w:val="1"/>
    <w:rPr>
      <w:rFonts w:ascii="Times New Roman" w:eastAsia="宋体" w:cs="Arial" w:hAnsi="Times New Roman"/>
      <w:b/>
      <w:bCs/>
      <w:kern w:val="0"/>
      <w:sz w:val="36"/>
      <w:szCs w:val="36"/>
      <w:lang w:val="en-US" w:eastAsia="zh-CN" w:bidi="ar-SA"/>
    </w:rPr>
  </w:style>
  <w:style w:type="paragraph" w:styleId="2">
    <w:name w:val="heading 2"/>
    <w:basedOn w:val="0"/>
    <w:next w:val="0"/>
    <w:pPr>
      <w:keepNext/>
      <w:keepLines/>
      <w:widowControl w:val="0"/>
      <w:spacing w:before="260" w:after="260" w:line="415" w:lineRule="auto"/>
      <w:outlineLvl w:val="1"/>
    </w:pPr>
    <w:rPr>
      <w:rFonts w:ascii="Arial" w:eastAsia="黑体" w:hAnsi="Arial"/>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Body Text"/>
    <w:next w:val="0"/>
    <w:pPr>
      <w:widowControl w:val="0"/>
      <w:spacing w:after="120"/>
      <w:jc w:val="both"/>
    </w:pPr>
    <w:rPr>
      <w:rFonts w:ascii="Times New Roman" w:eastAsia="宋体" w:cs="Times New Roman" w:hAnsi="Times New Roman"/>
      <w:kern w:val="2"/>
      <w:sz w:val="28"/>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9</Pages>
  <Words>5579</Words>
  <Characters>5723</Characters>
  <Lines>310</Lines>
  <Paragraphs>151</Paragraphs>
  <CharactersWithSpaces>5745</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范永</dc:creator>
  <cp:lastModifiedBy>张丹瑜</cp:lastModifiedBy>
  <cp:revision>1</cp:revision>
  <dcterms:created xsi:type="dcterms:W3CDTF">2025-09-30T06:17:49Z</dcterms:created>
  <dcterms:modified xsi:type="dcterms:W3CDTF">2025-09-30T07:17:16Z</dcterms:modified>
</cp:coreProperties>
</file>